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556" w:rsidRPr="004879F6" w:rsidRDefault="00271556" w:rsidP="00271556">
      <w:pPr>
        <w:jc w:val="right"/>
        <w:rPr>
          <w:rFonts w:ascii="Times New Roman" w:hAnsi="Times New Roman" w:cs="Times New Roman"/>
          <w:b/>
          <w:sz w:val="20"/>
        </w:rPr>
      </w:pPr>
      <w:r w:rsidRPr="004879F6">
        <w:rPr>
          <w:rFonts w:ascii="Times New Roman" w:hAnsi="Times New Roman" w:cs="Times New Roman"/>
          <w:b/>
          <w:sz w:val="20"/>
        </w:rPr>
        <w:t>Anlage 21</w:t>
      </w:r>
    </w:p>
    <w:p w:rsidR="00271556" w:rsidRPr="004879F6" w:rsidRDefault="00271556" w:rsidP="00271556">
      <w:pPr>
        <w:spacing w:after="0"/>
        <w:jc w:val="center"/>
        <w:outlineLvl w:val="0"/>
        <w:rPr>
          <w:rFonts w:ascii="Times New Roman" w:hAnsi="Times New Roman" w:cs="Times New Roman"/>
          <w:b/>
          <w:sz w:val="20"/>
        </w:rPr>
      </w:pPr>
      <w:r w:rsidRPr="004879F6">
        <w:rPr>
          <w:rFonts w:ascii="Times New Roman" w:hAnsi="Times New Roman" w:cs="Times New Roman"/>
          <w:b/>
          <w:sz w:val="20"/>
        </w:rPr>
        <w:t>Ausbildungsinhalte</w:t>
      </w:r>
    </w:p>
    <w:p w:rsidR="00271556" w:rsidRPr="004879F6" w:rsidRDefault="00271556" w:rsidP="00271556">
      <w:pPr>
        <w:spacing w:after="0"/>
        <w:jc w:val="center"/>
        <w:rPr>
          <w:rFonts w:ascii="Times New Roman" w:hAnsi="Times New Roman" w:cs="Times New Roman"/>
          <w:b/>
          <w:sz w:val="20"/>
        </w:rPr>
      </w:pPr>
      <w:r w:rsidRPr="004879F6">
        <w:rPr>
          <w:rFonts w:ascii="Times New Roman" w:hAnsi="Times New Roman" w:cs="Times New Roman"/>
          <w:b/>
          <w:sz w:val="20"/>
        </w:rPr>
        <w:t>zum Sonderfach Neurologie</w:t>
      </w:r>
      <w:r w:rsidRPr="004879F6">
        <w:rPr>
          <w:rFonts w:ascii="Times New Roman" w:hAnsi="Times New Roman" w:cs="Times New Roman"/>
          <w:b/>
          <w:sz w:val="20"/>
        </w:rPr>
        <w:br/>
      </w:r>
    </w:p>
    <w:p w:rsidR="00271556" w:rsidRPr="004879F6" w:rsidRDefault="00271556" w:rsidP="00271556">
      <w:pPr>
        <w:spacing w:after="0"/>
        <w:jc w:val="center"/>
        <w:outlineLvl w:val="0"/>
        <w:rPr>
          <w:rFonts w:ascii="Times New Roman" w:hAnsi="Times New Roman" w:cs="Times New Roman"/>
          <w:b/>
          <w:sz w:val="20"/>
        </w:rPr>
      </w:pPr>
      <w:r w:rsidRPr="004879F6">
        <w:rPr>
          <w:rFonts w:ascii="Times New Roman" w:hAnsi="Times New Roman" w:cs="Times New Roman"/>
          <w:b/>
          <w:sz w:val="20"/>
        </w:rPr>
        <w:t>Sonderfach Grundausbildung (36 Monate)</w:t>
      </w:r>
    </w:p>
    <w:p w:rsidR="00271556" w:rsidRPr="004879F6" w:rsidRDefault="00271556" w:rsidP="00271556">
      <w:pPr>
        <w:spacing w:after="0"/>
        <w:jc w:val="center"/>
        <w:rPr>
          <w:rFonts w:ascii="Times New Roman" w:hAnsi="Times New Roman" w:cs="Times New Roman"/>
          <w:b/>
          <w:sz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271556" w:rsidRPr="004879F6" w:rsidTr="00BE4DBF">
        <w:tc>
          <w:tcPr>
            <w:tcW w:w="9526" w:type="dxa"/>
            <w:shd w:val="clear" w:color="auto" w:fill="auto"/>
            <w:tcMar>
              <w:top w:w="57" w:type="dxa"/>
              <w:left w:w="284" w:type="dxa"/>
              <w:bottom w:w="57" w:type="dxa"/>
            </w:tcMar>
          </w:tcPr>
          <w:p w:rsidR="00271556" w:rsidRPr="004879F6" w:rsidRDefault="00271556" w:rsidP="00BE4DBF">
            <w:pPr>
              <w:tabs>
                <w:tab w:val="left" w:pos="425"/>
              </w:tabs>
              <w:spacing w:after="0"/>
              <w:rPr>
                <w:rFonts w:ascii="Times New Roman" w:hAnsi="Times New Roman" w:cs="Times New Roman"/>
                <w:b/>
                <w:sz w:val="20"/>
              </w:rPr>
            </w:pPr>
            <w:r w:rsidRPr="004879F6">
              <w:rPr>
                <w:rFonts w:ascii="Times New Roman" w:hAnsi="Times New Roman" w:cs="Times New Roman"/>
                <w:b/>
                <w:sz w:val="20"/>
              </w:rPr>
              <w:t>A)</w:t>
            </w:r>
            <w:r w:rsidRPr="004879F6">
              <w:rPr>
                <w:rFonts w:ascii="Times New Roman" w:hAnsi="Times New Roman" w:cs="Times New Roman"/>
                <w:b/>
                <w:sz w:val="20"/>
              </w:rPr>
              <w:tab/>
              <w:t>Kenntnisse</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
              </w:numPr>
              <w:spacing w:after="0" w:line="240" w:lineRule="auto"/>
              <w:ind w:left="425" w:hanging="425"/>
              <w:rPr>
                <w:rFonts w:ascii="Times New Roman" w:hAnsi="Times New Roman" w:cs="Times New Roman"/>
                <w:sz w:val="20"/>
              </w:rPr>
            </w:pPr>
            <w:r w:rsidRPr="004879F6">
              <w:rPr>
                <w:rFonts w:ascii="Times New Roman" w:hAnsi="Times New Roman" w:cs="Times New Roman"/>
                <w:sz w:val="20"/>
                <w:lang w:eastAsia="de-AT"/>
              </w:rPr>
              <w:t>Neurologie inkl. neuropsychiatrischer Symptome sowie weiterer benachbarter Fachgebiete</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Psychosomatische Medizin</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Gesundheitsberatung, Prävention, fachspezifische Vorsorgemedizin und gesundheitliche Aufklärung</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 xml:space="preserve">Betreuung </w:t>
            </w:r>
            <w:r w:rsidRPr="004879F6">
              <w:rPr>
                <w:rFonts w:ascii="Times New Roman" w:hAnsi="Times New Roman" w:cs="Times New Roman"/>
                <w:sz w:val="20"/>
              </w:rPr>
              <w:t>von Menschen mit besonderen Bedürfnissen</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Einschlägige Rechtsvorschriften für die Ausübung des ärztlichen Berufes, insbesondere betreffend das Sozial-, Fürsorge- und Gesundheitswesen, einschließlich entsprechender Institutionenkunde des österreichischen Gesundheitswesens und des Sozialversicherungssystems</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Grundlagen der Dokumentation und Arzthaftung</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Grundlagen der multidisziplinären Koordination und Kooperation, insbesondere mit anderen Gesundheitsberufen und Möglichkeiten der Rehabilitation</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 xml:space="preserve">Palliativmedizin </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 xml:space="preserve">Geriatrie </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Schmerztherapie</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Maßnahmen zur Patientinnen-und Patientensicherheit</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Gesundheitsökonomische Auswirkungen ärztlichen Handelns, Palliativmedizin</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 xml:space="preserve">Ethik ärztlichen Handelns </w:t>
            </w:r>
          </w:p>
        </w:tc>
      </w:tr>
    </w:tbl>
    <w:p w:rsidR="00271556" w:rsidRPr="004879F6" w:rsidRDefault="00271556" w:rsidP="00271556">
      <w:pPr>
        <w:spacing w:after="0" w:line="240" w:lineRule="auto"/>
        <w:rPr>
          <w:rFonts w:ascii="Times New Roman" w:hAnsi="Times New Roman" w:cs="Times"/>
          <w:sz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271556" w:rsidRPr="004879F6" w:rsidTr="00BE4DBF">
        <w:tc>
          <w:tcPr>
            <w:tcW w:w="9526" w:type="dxa"/>
            <w:shd w:val="clear" w:color="auto" w:fill="auto"/>
            <w:tcMar>
              <w:top w:w="57" w:type="dxa"/>
              <w:left w:w="284" w:type="dxa"/>
              <w:bottom w:w="57" w:type="dxa"/>
            </w:tcMar>
          </w:tcPr>
          <w:p w:rsidR="00271556" w:rsidRPr="004879F6" w:rsidRDefault="00271556" w:rsidP="00BE4DBF">
            <w:pPr>
              <w:tabs>
                <w:tab w:val="left" w:pos="425"/>
              </w:tabs>
              <w:spacing w:after="0"/>
              <w:rPr>
                <w:rFonts w:ascii="Times New Roman" w:hAnsi="Times New Roman" w:cs="Times New Roman"/>
                <w:b/>
                <w:sz w:val="20"/>
              </w:rPr>
            </w:pPr>
            <w:r w:rsidRPr="004879F6">
              <w:rPr>
                <w:rFonts w:ascii="Times New Roman" w:hAnsi="Times New Roman" w:cs="Times New Roman"/>
                <w:b/>
                <w:sz w:val="20"/>
              </w:rPr>
              <w:t>B)</w:t>
            </w:r>
            <w:r w:rsidRPr="004879F6">
              <w:rPr>
                <w:rFonts w:ascii="Times New Roman" w:hAnsi="Times New Roman" w:cs="Times New Roman"/>
                <w:b/>
                <w:sz w:val="20"/>
              </w:rPr>
              <w:tab/>
              <w:t>Erfahrungen</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2"/>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Fachspezifisches Notfallmanagement</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2"/>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 xml:space="preserve">Betreuung von </w:t>
            </w:r>
            <w:r w:rsidRPr="004879F6">
              <w:rPr>
                <w:rFonts w:ascii="Times New Roman" w:hAnsi="Times New Roman" w:cs="Times New Roman"/>
                <w:sz w:val="20"/>
              </w:rPr>
              <w:t>Patienti</w:t>
            </w:r>
            <w:r w:rsidRPr="004879F6">
              <w:rPr>
                <w:rFonts w:ascii="Times New Roman" w:hAnsi="Times New Roman" w:cs="Times New Roman"/>
                <w:sz w:val="20"/>
                <w:szCs w:val="20"/>
              </w:rPr>
              <w:t>nn</w:t>
            </w:r>
            <w:r w:rsidRPr="004879F6">
              <w:rPr>
                <w:rFonts w:ascii="Times New Roman" w:hAnsi="Times New Roman" w:cs="Times New Roman"/>
                <w:sz w:val="20"/>
              </w:rPr>
              <w:t>en und Patienten</w:t>
            </w:r>
            <w:r w:rsidRPr="004879F6">
              <w:rPr>
                <w:rFonts w:ascii="Times New Roman" w:eastAsia="Times New Roman" w:hAnsi="Times New Roman" w:cs="Times New Roman"/>
                <w:sz w:val="20"/>
                <w:szCs w:val="20"/>
                <w:lang w:eastAsia="de-AT"/>
              </w:rPr>
              <w:t xml:space="preserve"> an einer Intensivstation bzw. intermediate care Einheit</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2"/>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 xml:space="preserve">Betreuung von </w:t>
            </w:r>
            <w:r w:rsidRPr="004879F6">
              <w:rPr>
                <w:rFonts w:ascii="Times New Roman" w:hAnsi="Times New Roman" w:cs="Times New Roman"/>
                <w:sz w:val="20"/>
              </w:rPr>
              <w:t>Patienti</w:t>
            </w:r>
            <w:r w:rsidRPr="004879F6">
              <w:rPr>
                <w:rFonts w:ascii="Times New Roman" w:hAnsi="Times New Roman" w:cs="Times New Roman"/>
                <w:sz w:val="20"/>
                <w:szCs w:val="20"/>
              </w:rPr>
              <w:t>nn</w:t>
            </w:r>
            <w:r w:rsidRPr="004879F6">
              <w:rPr>
                <w:rFonts w:ascii="Times New Roman" w:hAnsi="Times New Roman" w:cs="Times New Roman"/>
                <w:sz w:val="20"/>
              </w:rPr>
              <w:t>en und Patienten</w:t>
            </w:r>
            <w:r w:rsidRPr="004879F6">
              <w:rPr>
                <w:rFonts w:ascii="Times New Roman" w:eastAsia="Times New Roman" w:hAnsi="Times New Roman" w:cs="Times New Roman"/>
                <w:sz w:val="20"/>
                <w:szCs w:val="20"/>
                <w:lang w:eastAsia="de-AT"/>
              </w:rPr>
              <w:t xml:space="preserve"> an einer Schlaganfalleinheit (Stroke Unit)</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2"/>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Fachspezifische Bewertung der von Radiologinnen und Radiologen und Nuklearmedizinerinnen und Nuklearmedizinern erhobenen Befunde und Bilder bei bildgebenden Verfahren</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2"/>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 xml:space="preserve">Betreuung  von </w:t>
            </w:r>
            <w:r w:rsidRPr="004879F6">
              <w:rPr>
                <w:rFonts w:ascii="Times New Roman" w:hAnsi="Times New Roman" w:cs="Times New Roman"/>
                <w:sz w:val="20"/>
              </w:rPr>
              <w:t>Patienti</w:t>
            </w:r>
            <w:r w:rsidRPr="004879F6">
              <w:rPr>
                <w:rFonts w:ascii="Times New Roman" w:hAnsi="Times New Roman" w:cs="Times New Roman"/>
                <w:sz w:val="20"/>
                <w:szCs w:val="20"/>
              </w:rPr>
              <w:t>nn</w:t>
            </w:r>
            <w:r w:rsidRPr="004879F6">
              <w:rPr>
                <w:rFonts w:ascii="Times New Roman" w:hAnsi="Times New Roman" w:cs="Times New Roman"/>
                <w:sz w:val="20"/>
              </w:rPr>
              <w:t>en und Patienten</w:t>
            </w:r>
            <w:r w:rsidRPr="004879F6">
              <w:rPr>
                <w:rFonts w:ascii="Times New Roman" w:eastAsia="Times New Roman" w:hAnsi="Times New Roman" w:cs="Times New Roman"/>
                <w:sz w:val="20"/>
                <w:szCs w:val="20"/>
                <w:lang w:eastAsia="de-AT"/>
              </w:rPr>
              <w:t xml:space="preserve"> in Spezialgebieten der Neurologie wie z.B. Epilepsie, Schmerz inkl. Kopfschmerz, neuromuskuläre Erkrankungen, neuroonkologische Erkrankungen, Morbus Parkinson und andere Bewegungsstörungen, Gedächtnisstörungen und Demenz, Schwindel</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2"/>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Neuroimmunologie</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2"/>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Neurorehabilitation</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2"/>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Epilepsiemonitoring</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2"/>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 xml:space="preserve">Schlafmedizin </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2"/>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Kognitive Neurologie und klinische Neuropsychologie</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2"/>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Fachspezifische Qualitätssicherung und Dokumentation</w:t>
            </w:r>
          </w:p>
        </w:tc>
      </w:tr>
    </w:tbl>
    <w:p w:rsidR="00271556" w:rsidRPr="004879F6" w:rsidRDefault="00271556" w:rsidP="00271556">
      <w:pPr>
        <w:spacing w:after="0" w:line="240" w:lineRule="auto"/>
        <w:rPr>
          <w:rFonts w:ascii="Times New Roman" w:hAnsi="Times New Roman" w:cs="Times New Roman"/>
          <w:sz w:val="20"/>
          <w:szCs w:val="20"/>
        </w:rPr>
      </w:pPr>
      <w:r w:rsidRPr="004879F6">
        <w:rPr>
          <w:rFonts w:ascii="Times New Roman" w:hAnsi="Times New Roman" w:cs="Times New Roman"/>
          <w:sz w:val="20"/>
          <w:szCs w:val="20"/>
        </w:rPr>
        <w:br w:type="page"/>
      </w:r>
      <w:bookmarkStart w:id="0" w:name="_GoBack"/>
      <w:bookmarkEnd w:id="0"/>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2"/>
        <w:gridCol w:w="1444"/>
      </w:tblGrid>
      <w:tr w:rsidR="00271556" w:rsidRPr="004879F6" w:rsidTr="00BE4DBF">
        <w:tc>
          <w:tcPr>
            <w:tcW w:w="7938" w:type="dxa"/>
            <w:shd w:val="clear" w:color="auto" w:fill="auto"/>
            <w:tcMar>
              <w:top w:w="57" w:type="dxa"/>
              <w:left w:w="284" w:type="dxa"/>
              <w:bottom w:w="57" w:type="dxa"/>
            </w:tcMar>
          </w:tcPr>
          <w:p w:rsidR="00271556" w:rsidRPr="004879F6" w:rsidRDefault="00271556" w:rsidP="00BE4DBF">
            <w:pPr>
              <w:tabs>
                <w:tab w:val="left" w:pos="425"/>
              </w:tabs>
              <w:spacing w:after="0"/>
              <w:rPr>
                <w:rFonts w:ascii="Times New Roman" w:hAnsi="Times New Roman" w:cs="Times New Roman"/>
                <w:b/>
                <w:sz w:val="20"/>
              </w:rPr>
            </w:pPr>
            <w:r w:rsidRPr="004879F6">
              <w:rPr>
                <w:rFonts w:ascii="Times New Roman" w:hAnsi="Times New Roman" w:cs="Times New Roman"/>
                <w:b/>
                <w:sz w:val="20"/>
              </w:rPr>
              <w:lastRenderedPageBreak/>
              <w:t>C)</w:t>
            </w:r>
            <w:r w:rsidRPr="004879F6">
              <w:rPr>
                <w:rFonts w:ascii="Times New Roman" w:hAnsi="Times New Roman" w:cs="Times New Roman"/>
                <w:b/>
                <w:sz w:val="20"/>
              </w:rPr>
              <w:tab/>
              <w:t>Fertigkeiten</w:t>
            </w:r>
          </w:p>
        </w:tc>
        <w:tc>
          <w:tcPr>
            <w:tcW w:w="1418"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b/>
                <w:sz w:val="20"/>
              </w:rPr>
            </w:pPr>
            <w:r w:rsidRPr="004879F6">
              <w:rPr>
                <w:rFonts w:ascii="Times New Roman" w:hAnsi="Times New Roman" w:cs="Times New Roman"/>
                <w:b/>
                <w:sz w:val="20"/>
              </w:rPr>
              <w:t>Richtzahl</w:t>
            </w: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3"/>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Diagnostik, Prävention, Therapie und Rehabilitation/Remobilisation und Nachsorge neurologischer Krankheitsbilder inkl. begleitender Affekt-und Verhaltensstörungen und weiterer  psychiatrischer Begleitsymptome neurologischer Erkrankungen, d.h. sämtliche primären und sekundären Erkrankungen und Funktionsstörungen des zentralen, peripheren und vegetativen Nervensystems sowie der Muskulatur</w:t>
            </w:r>
          </w:p>
        </w:tc>
        <w:tc>
          <w:tcPr>
            <w:tcW w:w="1418"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3"/>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Klinisch neurologische Diagnostik und ärztliche Begutachtung unter Anwendung fachspezifischer Untersuchungstechniken und Anwendung von Skalen und Scores</w:t>
            </w:r>
          </w:p>
        </w:tc>
        <w:tc>
          <w:tcPr>
            <w:tcW w:w="1418"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3"/>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Punktion und Katherisierungstechniken einschließlich der Gewinnung von Untersuchungsmaterial aus dem Liquorsystem und Liquordiagnostik</w:t>
            </w:r>
          </w:p>
        </w:tc>
        <w:tc>
          <w:tcPr>
            <w:tcW w:w="1418"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r w:rsidRPr="004879F6">
              <w:rPr>
                <w:rFonts w:ascii="Times New Roman" w:hAnsi="Times New Roman" w:cs="Times New Roman"/>
                <w:sz w:val="20"/>
              </w:rPr>
              <w:t xml:space="preserve">50 </w:t>
            </w: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3"/>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Elektroenzephalographie</w:t>
            </w:r>
          </w:p>
        </w:tc>
        <w:tc>
          <w:tcPr>
            <w:tcW w:w="1418"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r w:rsidRPr="004879F6">
              <w:rPr>
                <w:rFonts w:ascii="Times New Roman" w:hAnsi="Times New Roman" w:cs="Times New Roman"/>
                <w:sz w:val="20"/>
              </w:rPr>
              <w:t xml:space="preserve">250 </w:t>
            </w: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3"/>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Elektromyographie und Elektroneurographie</w:t>
            </w:r>
          </w:p>
        </w:tc>
        <w:tc>
          <w:tcPr>
            <w:tcW w:w="1418"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r w:rsidRPr="004879F6">
              <w:rPr>
                <w:rFonts w:ascii="Times New Roman" w:hAnsi="Times New Roman" w:cs="Times New Roman"/>
                <w:sz w:val="20"/>
              </w:rPr>
              <w:t>100</w:t>
            </w: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3"/>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Evozierte Potentiale (EP)</w:t>
            </w:r>
          </w:p>
        </w:tc>
        <w:tc>
          <w:tcPr>
            <w:tcW w:w="1418"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r w:rsidRPr="004879F6">
              <w:rPr>
                <w:rFonts w:ascii="Times New Roman" w:hAnsi="Times New Roman" w:cs="Times New Roman"/>
                <w:sz w:val="20"/>
              </w:rPr>
              <w:t>50</w:t>
            </w: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3"/>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Funktionsdiagnostik des autonomen Nervensystems</w:t>
            </w:r>
          </w:p>
        </w:tc>
        <w:tc>
          <w:tcPr>
            <w:tcW w:w="1418"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r w:rsidRPr="004879F6">
              <w:rPr>
                <w:rFonts w:ascii="Times New Roman" w:hAnsi="Times New Roman" w:cs="Times New Roman"/>
                <w:sz w:val="20"/>
              </w:rPr>
              <w:t>10</w:t>
            </w: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3"/>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Fachspezifische Interpretation der von Radiologinnen und Radiologen und Nuklearmedizinerinnen und Nuklearmedizinern erhobenen Befunde und Bilder bei bildgebenden Verfahren</w:t>
            </w:r>
          </w:p>
        </w:tc>
        <w:tc>
          <w:tcPr>
            <w:tcW w:w="1418"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3"/>
              </w:numPr>
              <w:spacing w:after="0" w:line="240" w:lineRule="auto"/>
              <w:ind w:left="425" w:hanging="425"/>
              <w:rPr>
                <w:rFonts w:ascii="Times New Roman" w:hAnsi="Times New Roman" w:cs="Times New Roman"/>
                <w:sz w:val="20"/>
              </w:rPr>
            </w:pPr>
            <w:r w:rsidRPr="004879F6">
              <w:rPr>
                <w:rFonts w:ascii="Times New Roman" w:eastAsia="Times New Roman" w:hAnsi="Times New Roman" w:cs="Times New Roman"/>
                <w:sz w:val="20"/>
                <w:szCs w:val="20"/>
                <w:lang w:eastAsia="de-AT"/>
              </w:rPr>
              <w:t>Neurosonographie:</w:t>
            </w:r>
          </w:p>
        </w:tc>
        <w:tc>
          <w:tcPr>
            <w:tcW w:w="1418"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22"/>
              </w:numPr>
              <w:spacing w:after="0" w:line="240" w:lineRule="auto"/>
              <w:ind w:left="851"/>
              <w:contextualSpacing/>
              <w:rPr>
                <w:rFonts w:ascii="Times New Roman" w:hAnsi="Times New Roman" w:cs="Times New Roman"/>
                <w:sz w:val="20"/>
                <w:lang w:eastAsia="de-AT"/>
              </w:rPr>
            </w:pPr>
            <w:r w:rsidRPr="004879F6">
              <w:rPr>
                <w:rFonts w:ascii="Times New Roman" w:hAnsi="Times New Roman" w:cs="Times New Roman"/>
                <w:sz w:val="20"/>
              </w:rPr>
              <w:t>extrakranielle Doppler- und Duplexsonographie des Carotis- und Vertebralissystems</w:t>
            </w:r>
          </w:p>
        </w:tc>
        <w:tc>
          <w:tcPr>
            <w:tcW w:w="1418"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r w:rsidRPr="004879F6">
              <w:rPr>
                <w:rFonts w:ascii="Times New Roman" w:hAnsi="Times New Roman" w:cs="Times New Roman"/>
                <w:sz w:val="20"/>
              </w:rPr>
              <w:t>100</w:t>
            </w: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22"/>
              </w:numPr>
              <w:spacing w:after="0" w:line="240" w:lineRule="auto"/>
              <w:ind w:left="851"/>
              <w:contextualSpacing/>
              <w:rPr>
                <w:rFonts w:ascii="Times New Roman" w:hAnsi="Times New Roman" w:cs="Times New Roman"/>
                <w:sz w:val="20"/>
                <w:lang w:eastAsia="de-AT"/>
              </w:rPr>
            </w:pPr>
            <w:r w:rsidRPr="004879F6">
              <w:rPr>
                <w:rFonts w:ascii="Times New Roman" w:hAnsi="Times New Roman" w:cs="Times New Roman"/>
                <w:sz w:val="20"/>
              </w:rPr>
              <w:t xml:space="preserve">transkranielle Sonographie </w:t>
            </w:r>
          </w:p>
        </w:tc>
        <w:tc>
          <w:tcPr>
            <w:tcW w:w="1418"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r w:rsidRPr="004879F6">
              <w:rPr>
                <w:rFonts w:ascii="Times New Roman" w:hAnsi="Times New Roman" w:cs="Times New Roman"/>
                <w:sz w:val="20"/>
              </w:rPr>
              <w:t>100</w:t>
            </w: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22"/>
              </w:numPr>
              <w:spacing w:after="0" w:line="240" w:lineRule="auto"/>
              <w:ind w:left="851"/>
              <w:contextualSpacing/>
              <w:rPr>
                <w:rFonts w:ascii="Times New Roman" w:hAnsi="Times New Roman" w:cs="Times New Roman"/>
                <w:sz w:val="20"/>
                <w:lang w:eastAsia="de-AT"/>
              </w:rPr>
            </w:pPr>
            <w:r w:rsidRPr="004879F6">
              <w:rPr>
                <w:rFonts w:ascii="Times New Roman" w:hAnsi="Times New Roman" w:cs="Times New Roman"/>
                <w:sz w:val="20"/>
              </w:rPr>
              <w:t xml:space="preserve">Nerven- und Muskelsonographie </w:t>
            </w:r>
          </w:p>
        </w:tc>
        <w:tc>
          <w:tcPr>
            <w:tcW w:w="1418"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3"/>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 xml:space="preserve">Neuropsychologische Testverfahren </w:t>
            </w:r>
          </w:p>
        </w:tc>
        <w:tc>
          <w:tcPr>
            <w:tcW w:w="1418"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r w:rsidRPr="004879F6">
              <w:rPr>
                <w:rFonts w:ascii="Times New Roman" w:hAnsi="Times New Roman" w:cs="Times New Roman"/>
                <w:sz w:val="20"/>
              </w:rPr>
              <w:t>50</w:t>
            </w: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3"/>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Allfällig Hirntoddiagnostik</w:t>
            </w:r>
          </w:p>
        </w:tc>
        <w:tc>
          <w:tcPr>
            <w:tcW w:w="1418"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r w:rsidRPr="004879F6">
              <w:rPr>
                <w:rFonts w:ascii="Times New Roman" w:hAnsi="Times New Roman" w:cs="Times New Roman"/>
                <w:sz w:val="20"/>
              </w:rPr>
              <w:t>5</w:t>
            </w: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3"/>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Primäre und sekundäre Präventionsmaßnahmen sowie Therapie akuter und chronischer neurologischer Erkrankungen inkl. neurologischer Notfälle und psychiatrischer Begleitsymptome neurologischer Erkrankungen</w:t>
            </w:r>
          </w:p>
        </w:tc>
        <w:tc>
          <w:tcPr>
            <w:tcW w:w="1418"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3"/>
              </w:numPr>
              <w:spacing w:after="0" w:line="240" w:lineRule="auto"/>
              <w:ind w:left="425" w:hanging="425"/>
              <w:rPr>
                <w:rFonts w:ascii="Times New Roman" w:eastAsia="Times New Roman" w:hAnsi="Times New Roman" w:cs="Times New Roman"/>
                <w:sz w:val="20"/>
                <w:lang w:eastAsia="de-AT"/>
              </w:rPr>
            </w:pPr>
            <w:r w:rsidRPr="004879F6">
              <w:rPr>
                <w:rFonts w:ascii="Times New Roman" w:hAnsi="Times New Roman" w:cs="Times New Roman"/>
                <w:sz w:val="20"/>
              </w:rPr>
              <w:t xml:space="preserve">Kausale und symptomatische Pharmakotherapie neurologischer Erkrankungen, deren Ursachen und </w:t>
            </w:r>
            <w:r w:rsidRPr="004879F6">
              <w:rPr>
                <w:rFonts w:ascii="Times New Roman" w:eastAsia="Times New Roman" w:hAnsi="Times New Roman" w:cs="Times New Roman"/>
                <w:sz w:val="20"/>
                <w:szCs w:val="20"/>
                <w:lang w:eastAsia="de-AT"/>
              </w:rPr>
              <w:t>Folgen</w:t>
            </w:r>
            <w:r w:rsidRPr="004879F6">
              <w:rPr>
                <w:rFonts w:ascii="Times New Roman" w:hAnsi="Times New Roman" w:cs="Times New Roman"/>
                <w:sz w:val="20"/>
              </w:rPr>
              <w:t xml:space="preserve"> inkl. invasiver Maßnahmen und Therapiemonitoring/-adhärenz</w:t>
            </w:r>
          </w:p>
        </w:tc>
        <w:tc>
          <w:tcPr>
            <w:tcW w:w="1418"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3"/>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Nicht-pharmakologische Therapieformen neurologischer Erkrankungen</w:t>
            </w:r>
          </w:p>
        </w:tc>
        <w:tc>
          <w:tcPr>
            <w:tcW w:w="1418"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3"/>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Neurorehabilitation inkl. Fachaufsicht über andere Gesundheitsberufe und neurogeriatrische Remobilisation</w:t>
            </w:r>
          </w:p>
        </w:tc>
        <w:tc>
          <w:tcPr>
            <w:tcW w:w="1418"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3"/>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 xml:space="preserve">Information und Kommunikation mit </w:t>
            </w:r>
            <w:r w:rsidRPr="004879F6">
              <w:rPr>
                <w:rFonts w:ascii="Times New Roman" w:hAnsi="Times New Roman" w:cs="Times New Roman"/>
                <w:sz w:val="20"/>
              </w:rPr>
              <w:t>Patienti</w:t>
            </w:r>
            <w:r w:rsidRPr="004879F6">
              <w:rPr>
                <w:rFonts w:ascii="Times New Roman" w:hAnsi="Times New Roman" w:cs="Times New Roman"/>
                <w:sz w:val="20"/>
                <w:szCs w:val="20"/>
              </w:rPr>
              <w:t>nn</w:t>
            </w:r>
            <w:r w:rsidRPr="004879F6">
              <w:rPr>
                <w:rFonts w:ascii="Times New Roman" w:hAnsi="Times New Roman" w:cs="Times New Roman"/>
                <w:sz w:val="20"/>
              </w:rPr>
              <w:t>en und Patienten</w:t>
            </w:r>
            <w:r w:rsidRPr="004879F6">
              <w:rPr>
                <w:rFonts w:ascii="Times New Roman" w:eastAsia="Times New Roman" w:hAnsi="Times New Roman" w:cs="Times New Roman"/>
                <w:sz w:val="20"/>
                <w:szCs w:val="20"/>
                <w:lang w:eastAsia="de-AT"/>
              </w:rPr>
              <w:t xml:space="preserve"> und Angehörigen über Vorbereitung, Indikation, Durchführung und Risiken von Untersuchungen und Behandlungen</w:t>
            </w:r>
          </w:p>
        </w:tc>
        <w:tc>
          <w:tcPr>
            <w:tcW w:w="1418"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3"/>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Fachspezifische Schmerztherapie</w:t>
            </w:r>
          </w:p>
        </w:tc>
        <w:tc>
          <w:tcPr>
            <w:tcW w:w="1418"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3"/>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Fachspezifische Palliativmedizin</w:t>
            </w:r>
          </w:p>
        </w:tc>
        <w:tc>
          <w:tcPr>
            <w:tcW w:w="1418"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3"/>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Schriftliche Zusammenfassung, Dokumentation und Bewertung von Krankheitsverläufen sowie der sich daraus ergebenden Prognosen (Fähigkeit zur Erstellung von Attesten, Zeugnissen etc.)</w:t>
            </w:r>
          </w:p>
        </w:tc>
        <w:tc>
          <w:tcPr>
            <w:tcW w:w="1418"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p>
        </w:tc>
      </w:tr>
    </w:tbl>
    <w:p w:rsidR="00271556" w:rsidRPr="004879F6" w:rsidRDefault="00271556" w:rsidP="00271556">
      <w:pPr>
        <w:spacing w:after="0"/>
        <w:jc w:val="center"/>
        <w:outlineLvl w:val="0"/>
        <w:rPr>
          <w:rFonts w:ascii="Times New Roman" w:hAnsi="Times New Roman" w:cs="Times New Roman"/>
          <w:b/>
          <w:sz w:val="20"/>
        </w:rPr>
      </w:pPr>
      <w:r w:rsidRPr="004879F6">
        <w:rPr>
          <w:rFonts w:ascii="Times New Roman" w:hAnsi="Times New Roman" w:cs="Times New Roman"/>
          <w:b/>
          <w:sz w:val="20"/>
        </w:rPr>
        <w:br w:type="page"/>
      </w:r>
      <w:r w:rsidRPr="004879F6">
        <w:rPr>
          <w:rFonts w:ascii="Times New Roman" w:hAnsi="Times New Roman" w:cs="Times New Roman"/>
          <w:b/>
          <w:sz w:val="20"/>
        </w:rPr>
        <w:lastRenderedPageBreak/>
        <w:t xml:space="preserve">Sonderfach Schwerpunktausbildung (27 Monate) </w:t>
      </w:r>
    </w:p>
    <w:p w:rsidR="00271556" w:rsidRPr="004879F6" w:rsidRDefault="00271556" w:rsidP="00271556">
      <w:pPr>
        <w:spacing w:after="0"/>
        <w:jc w:val="center"/>
        <w:rPr>
          <w:rFonts w:ascii="Times New Roman" w:hAnsi="Times New Roman" w:cs="Times New Roman"/>
          <w:b/>
          <w:sz w:val="20"/>
        </w:rPr>
      </w:pPr>
    </w:p>
    <w:p w:rsidR="00271556" w:rsidRPr="004879F6" w:rsidRDefault="00271556" w:rsidP="00271556">
      <w:pPr>
        <w:spacing w:after="0"/>
        <w:jc w:val="center"/>
        <w:outlineLvl w:val="0"/>
        <w:rPr>
          <w:rFonts w:ascii="Times New Roman" w:hAnsi="Times New Roman" w:cs="Times New Roman"/>
          <w:b/>
          <w:sz w:val="20"/>
        </w:rPr>
      </w:pPr>
      <w:r w:rsidRPr="004879F6">
        <w:rPr>
          <w:rFonts w:ascii="Times New Roman" w:hAnsi="Times New Roman" w:cs="Times New Roman"/>
          <w:b/>
          <w:sz w:val="20"/>
        </w:rPr>
        <w:t>Modul 1: Neurorehabilitation</w:t>
      </w:r>
    </w:p>
    <w:p w:rsidR="00271556" w:rsidRPr="004879F6" w:rsidRDefault="00271556" w:rsidP="00271556">
      <w:pPr>
        <w:spacing w:after="0"/>
        <w:jc w:val="center"/>
        <w:rPr>
          <w:rFonts w:ascii="Times New Roman" w:hAnsi="Times New Roman" w:cs="Times New Roman"/>
          <w:b/>
          <w:sz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271556" w:rsidRPr="004879F6" w:rsidTr="00BE4DBF">
        <w:tc>
          <w:tcPr>
            <w:tcW w:w="9526" w:type="dxa"/>
            <w:shd w:val="clear" w:color="auto" w:fill="auto"/>
            <w:tcMar>
              <w:top w:w="57" w:type="dxa"/>
              <w:left w:w="284" w:type="dxa"/>
              <w:bottom w:w="57" w:type="dxa"/>
            </w:tcMar>
          </w:tcPr>
          <w:p w:rsidR="00271556" w:rsidRPr="004879F6" w:rsidRDefault="00271556" w:rsidP="00BE4DBF">
            <w:pPr>
              <w:tabs>
                <w:tab w:val="left" w:pos="425"/>
              </w:tabs>
              <w:spacing w:after="0"/>
              <w:rPr>
                <w:rFonts w:ascii="Times New Roman" w:hAnsi="Times New Roman" w:cs="Times New Roman"/>
                <w:b/>
                <w:sz w:val="20"/>
              </w:rPr>
            </w:pPr>
            <w:r w:rsidRPr="004879F6">
              <w:rPr>
                <w:rFonts w:ascii="Times New Roman" w:hAnsi="Times New Roman" w:cs="Times New Roman"/>
                <w:b/>
                <w:sz w:val="20"/>
              </w:rPr>
              <w:t>A)</w:t>
            </w:r>
            <w:r w:rsidRPr="004879F6">
              <w:rPr>
                <w:rFonts w:ascii="Times New Roman" w:hAnsi="Times New Roman" w:cs="Times New Roman"/>
                <w:b/>
                <w:sz w:val="20"/>
              </w:rPr>
              <w:tab/>
              <w:t>Kenntnisse</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4"/>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Grundlagen und Strukturen der Neurorehabilitation</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4"/>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Physiotherapeutische Techniken/Schulen</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4"/>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Elektro-/Balneo-/Thermotherapie</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4"/>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Medizinische Trainingstherapie</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4"/>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Neurorehabilitation bei neurologischen Erkrankungen und neuropharmakologische Interventionen von Störungen der Kognition und des Verhaltens wie. z.B. Störungen von Sprache, Wahrnehmung, Gedächtnis und Handlungsplanung, des Weiteren Schluckstörungen, Blasen- und Sexualfunktionsstörungen u. a. zentralen Sehstörungen</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4"/>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Neurorehabilitation bei Schädel-Hirn-Traumen und in der Intensivneurologie, bei Querschnittsläsionen und Wirbelsäulenerkrankungen, Schmerz und neuromuskuläre Erkrankungen</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4"/>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Anatomie und Physiologie des Schluckaktes</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4"/>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Pathophysiologie Schluckstörungen</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4"/>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Ablauf der endoskopischen Schluckdiagnostik</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4"/>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Komplikationen der endoskopischen Schluckdiagnostik</w:t>
            </w:r>
          </w:p>
        </w:tc>
      </w:tr>
    </w:tbl>
    <w:p w:rsidR="00271556" w:rsidRPr="004879F6" w:rsidRDefault="00271556" w:rsidP="00271556">
      <w:pPr>
        <w:spacing w:after="0" w:line="240" w:lineRule="auto"/>
        <w:rPr>
          <w:rFonts w:ascii="Times New Roman" w:hAnsi="Times New Roman" w:cs="Times"/>
          <w:sz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271556" w:rsidRPr="004879F6" w:rsidTr="00BE4DBF">
        <w:tc>
          <w:tcPr>
            <w:tcW w:w="9526" w:type="dxa"/>
            <w:shd w:val="clear" w:color="auto" w:fill="auto"/>
            <w:tcMar>
              <w:top w:w="57" w:type="dxa"/>
              <w:left w:w="284" w:type="dxa"/>
              <w:bottom w:w="57" w:type="dxa"/>
            </w:tcMar>
          </w:tcPr>
          <w:p w:rsidR="00271556" w:rsidRPr="004879F6" w:rsidRDefault="00271556" w:rsidP="00BE4DBF">
            <w:pPr>
              <w:tabs>
                <w:tab w:val="left" w:pos="425"/>
              </w:tabs>
              <w:spacing w:after="0"/>
              <w:rPr>
                <w:rFonts w:ascii="Times New Roman" w:hAnsi="Times New Roman" w:cs="Times New Roman"/>
                <w:b/>
                <w:sz w:val="20"/>
              </w:rPr>
            </w:pPr>
            <w:r w:rsidRPr="004879F6">
              <w:rPr>
                <w:rFonts w:ascii="Times New Roman" w:hAnsi="Times New Roman" w:cs="Times New Roman"/>
                <w:b/>
                <w:sz w:val="20"/>
              </w:rPr>
              <w:t>B)</w:t>
            </w:r>
            <w:r w:rsidRPr="004879F6">
              <w:rPr>
                <w:rFonts w:ascii="Times New Roman" w:hAnsi="Times New Roman" w:cs="Times New Roman"/>
                <w:b/>
                <w:sz w:val="20"/>
              </w:rPr>
              <w:tab/>
              <w:t>Erfahrungen</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5"/>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Neurorehabilitation in allen Altersstufen, insbesondere höheres Lebensalter</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5"/>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Ernährung und Magen-Darm-Funktionsstörungen</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5"/>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Interdisziplinäre Mitwirkung bei plastischen und rekonstruktiven chirurgischen Maßnahmen in der Neurorehabilitation</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5"/>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hAnsi="Times New Roman" w:cs="Times New Roman"/>
                <w:sz w:val="20"/>
              </w:rPr>
              <w:t>Patienti</w:t>
            </w:r>
            <w:r w:rsidRPr="004879F6">
              <w:rPr>
                <w:rFonts w:ascii="Times New Roman" w:hAnsi="Times New Roman" w:cs="Times New Roman"/>
                <w:sz w:val="20"/>
                <w:szCs w:val="20"/>
              </w:rPr>
              <w:t>nn</w:t>
            </w:r>
            <w:r w:rsidRPr="004879F6">
              <w:rPr>
                <w:rFonts w:ascii="Times New Roman" w:hAnsi="Times New Roman" w:cs="Times New Roman"/>
                <w:sz w:val="20"/>
              </w:rPr>
              <w:t>en und Patienten-</w:t>
            </w:r>
            <w:r w:rsidRPr="004879F6">
              <w:rPr>
                <w:rFonts w:ascii="Times New Roman" w:eastAsia="Times New Roman" w:hAnsi="Times New Roman" w:cs="Times New Roman"/>
                <w:sz w:val="20"/>
                <w:szCs w:val="20"/>
                <w:lang w:eastAsia="de-AT"/>
              </w:rPr>
              <w:t xml:space="preserve"> und Angehörigenedukation</w:t>
            </w:r>
          </w:p>
        </w:tc>
      </w:tr>
    </w:tbl>
    <w:p w:rsidR="00271556" w:rsidRPr="004879F6" w:rsidRDefault="00271556" w:rsidP="00271556">
      <w:pPr>
        <w:spacing w:after="0" w:line="240" w:lineRule="auto"/>
        <w:ind w:left="720"/>
        <w:rPr>
          <w:rFonts w:ascii="Times New Roman" w:hAnsi="Times New Roman" w:cs="Times New Roman"/>
          <w:strike/>
          <w:sz w:val="20"/>
          <w:szCs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2"/>
        <w:gridCol w:w="1444"/>
      </w:tblGrid>
      <w:tr w:rsidR="00271556" w:rsidRPr="004879F6" w:rsidTr="00BE4DBF">
        <w:tc>
          <w:tcPr>
            <w:tcW w:w="7938" w:type="dxa"/>
            <w:shd w:val="clear" w:color="auto" w:fill="auto"/>
            <w:tcMar>
              <w:top w:w="57" w:type="dxa"/>
              <w:left w:w="284" w:type="dxa"/>
              <w:bottom w:w="57" w:type="dxa"/>
            </w:tcMar>
          </w:tcPr>
          <w:p w:rsidR="00271556" w:rsidRPr="004879F6" w:rsidRDefault="00271556" w:rsidP="00BE4DBF">
            <w:pPr>
              <w:tabs>
                <w:tab w:val="left" w:pos="425"/>
              </w:tabs>
              <w:spacing w:after="0"/>
              <w:rPr>
                <w:rFonts w:ascii="Times New Roman" w:hAnsi="Times New Roman" w:cs="Times New Roman"/>
                <w:b/>
                <w:sz w:val="20"/>
              </w:rPr>
            </w:pPr>
            <w:r w:rsidRPr="004879F6">
              <w:rPr>
                <w:rFonts w:ascii="Times New Roman" w:hAnsi="Times New Roman" w:cs="Times New Roman"/>
                <w:b/>
                <w:sz w:val="20"/>
              </w:rPr>
              <w:t>C)</w:t>
            </w:r>
            <w:r w:rsidRPr="004879F6">
              <w:rPr>
                <w:rFonts w:ascii="Times New Roman" w:hAnsi="Times New Roman" w:cs="Times New Roman"/>
                <w:b/>
                <w:sz w:val="20"/>
              </w:rPr>
              <w:tab/>
              <w:t>Fertigkeiten</w:t>
            </w:r>
          </w:p>
        </w:tc>
        <w:tc>
          <w:tcPr>
            <w:tcW w:w="1418"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b/>
                <w:sz w:val="20"/>
              </w:rPr>
            </w:pPr>
            <w:r w:rsidRPr="004879F6">
              <w:rPr>
                <w:rFonts w:ascii="Times New Roman" w:hAnsi="Times New Roman" w:cs="Times New Roman"/>
                <w:b/>
                <w:sz w:val="20"/>
              </w:rPr>
              <w:t>Richtzahl</w:t>
            </w: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6"/>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Neurorehabilitative Diagnostik, Assessment und Leistungsüberwachung</w:t>
            </w:r>
          </w:p>
        </w:tc>
        <w:tc>
          <w:tcPr>
            <w:tcW w:w="1418"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r w:rsidRPr="004879F6">
              <w:rPr>
                <w:rFonts w:ascii="Times New Roman" w:hAnsi="Times New Roman" w:cs="Times New Roman"/>
                <w:sz w:val="20"/>
              </w:rPr>
              <w:t>50</w:t>
            </w: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6"/>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 xml:space="preserve">Einschätzung des Rehabilitationspotentials </w:t>
            </w:r>
            <w:r w:rsidRPr="004879F6">
              <w:rPr>
                <w:rFonts w:ascii="Times New Roman" w:eastAsia="Times New Roman" w:hAnsi="Times New Roman" w:cs="Times New Roman"/>
                <w:sz w:val="20"/>
                <w:szCs w:val="20"/>
                <w:lang w:eastAsia="de-AT"/>
              </w:rPr>
              <w:br/>
              <w:t>(Prognostische Beurteilung, Erfassung rehabilitationslimitierender Faktoren, Interpretation neurophysiologischer Befunde und fachspezifische Interpretation der von Radiologinnen und Radiologen und Nuklearmedizinerinnen und Nuklearmedizinern erhobenen Bilder und Befunde)</w:t>
            </w:r>
          </w:p>
        </w:tc>
        <w:tc>
          <w:tcPr>
            <w:tcW w:w="1418"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r w:rsidRPr="004879F6">
              <w:rPr>
                <w:rFonts w:ascii="Times New Roman" w:hAnsi="Times New Roman" w:cs="Times New Roman"/>
                <w:sz w:val="20"/>
              </w:rPr>
              <w:t>50</w:t>
            </w: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6"/>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Erstellung eines Therapie-/Rehabilitationsplans</w:t>
            </w:r>
          </w:p>
        </w:tc>
        <w:tc>
          <w:tcPr>
            <w:tcW w:w="1418"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r w:rsidRPr="004879F6">
              <w:rPr>
                <w:rFonts w:ascii="Times New Roman" w:hAnsi="Times New Roman" w:cs="Times New Roman"/>
                <w:sz w:val="20"/>
              </w:rPr>
              <w:t>50</w:t>
            </w: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6"/>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Festlegung von Rehabilitationszielen</w:t>
            </w:r>
          </w:p>
        </w:tc>
        <w:tc>
          <w:tcPr>
            <w:tcW w:w="1418"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r w:rsidRPr="004879F6">
              <w:rPr>
                <w:rFonts w:ascii="Times New Roman" w:hAnsi="Times New Roman" w:cs="Times New Roman"/>
                <w:sz w:val="20"/>
              </w:rPr>
              <w:t>50</w:t>
            </w: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6"/>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Anwendung der krankheits- und funktionsspezifischen Skalen und Scores</w:t>
            </w:r>
          </w:p>
        </w:tc>
        <w:tc>
          <w:tcPr>
            <w:tcW w:w="1418"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6"/>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Klinische Beurteilung der Ergebnisse testpsychologischer Untersuchungen</w:t>
            </w:r>
          </w:p>
        </w:tc>
        <w:tc>
          <w:tcPr>
            <w:tcW w:w="1418"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6"/>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Anwendung von Geräten, Apparaten etc. in der Neurorehabilitation</w:t>
            </w:r>
          </w:p>
        </w:tc>
        <w:tc>
          <w:tcPr>
            <w:tcW w:w="1418"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p>
        </w:tc>
      </w:tr>
      <w:tr w:rsidR="00271556" w:rsidRPr="004879F6" w:rsidTr="00BE4DBF">
        <w:trPr>
          <w:trHeight w:val="63"/>
        </w:trPr>
        <w:tc>
          <w:tcPr>
            <w:tcW w:w="7938" w:type="dxa"/>
            <w:shd w:val="clear" w:color="auto" w:fill="auto"/>
            <w:tcMar>
              <w:top w:w="57" w:type="dxa"/>
              <w:left w:w="284" w:type="dxa"/>
              <w:bottom w:w="57" w:type="dxa"/>
            </w:tcMar>
          </w:tcPr>
          <w:p w:rsidR="00271556" w:rsidRPr="004879F6" w:rsidRDefault="00271556" w:rsidP="00271556">
            <w:pPr>
              <w:numPr>
                <w:ilvl w:val="0"/>
                <w:numId w:val="6"/>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Invasive und nicht-invasive Rehabilitationsmaßnahmen</w:t>
            </w:r>
          </w:p>
        </w:tc>
        <w:tc>
          <w:tcPr>
            <w:tcW w:w="1418"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p>
        </w:tc>
      </w:tr>
      <w:tr w:rsidR="00271556" w:rsidRPr="004879F6" w:rsidTr="00BE4DBF">
        <w:trPr>
          <w:trHeight w:val="62"/>
        </w:trPr>
        <w:tc>
          <w:tcPr>
            <w:tcW w:w="7938" w:type="dxa"/>
            <w:shd w:val="clear" w:color="auto" w:fill="auto"/>
            <w:tcMar>
              <w:top w:w="57" w:type="dxa"/>
              <w:left w:w="284" w:type="dxa"/>
              <w:bottom w:w="57" w:type="dxa"/>
            </w:tcMar>
          </w:tcPr>
          <w:p w:rsidR="00271556" w:rsidRPr="004879F6" w:rsidRDefault="00271556" w:rsidP="00271556">
            <w:pPr>
              <w:numPr>
                <w:ilvl w:val="0"/>
                <w:numId w:val="6"/>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Untersuchung, Beurteilung und Therapie spastischer Syndrome</w:t>
            </w:r>
          </w:p>
        </w:tc>
        <w:tc>
          <w:tcPr>
            <w:tcW w:w="1418"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szCs w:val="20"/>
              </w:rPr>
            </w:pPr>
          </w:p>
        </w:tc>
      </w:tr>
      <w:tr w:rsidR="00271556" w:rsidRPr="004879F6" w:rsidTr="00BE4DBF">
        <w:trPr>
          <w:trHeight w:val="62"/>
        </w:trPr>
        <w:tc>
          <w:tcPr>
            <w:tcW w:w="7938" w:type="dxa"/>
            <w:shd w:val="clear" w:color="auto" w:fill="auto"/>
            <w:tcMar>
              <w:top w:w="57" w:type="dxa"/>
              <w:left w:w="284" w:type="dxa"/>
              <w:bottom w:w="57" w:type="dxa"/>
            </w:tcMar>
          </w:tcPr>
          <w:p w:rsidR="00271556" w:rsidRPr="004879F6" w:rsidRDefault="00271556" w:rsidP="00271556">
            <w:pPr>
              <w:numPr>
                <w:ilvl w:val="0"/>
                <w:numId w:val="6"/>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 xml:space="preserve">Allfällig Durchführung der endoskopischen Schluckdiagnostik </w:t>
            </w:r>
          </w:p>
        </w:tc>
        <w:tc>
          <w:tcPr>
            <w:tcW w:w="1418"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szCs w:val="20"/>
              </w:rPr>
            </w:pPr>
            <w:r w:rsidRPr="004879F6">
              <w:rPr>
                <w:rFonts w:ascii="Times New Roman" w:hAnsi="Times New Roman" w:cs="Times New Roman"/>
                <w:sz w:val="20"/>
                <w:szCs w:val="20"/>
              </w:rPr>
              <w:t>10</w:t>
            </w:r>
          </w:p>
        </w:tc>
      </w:tr>
    </w:tbl>
    <w:p w:rsidR="00271556" w:rsidRPr="004879F6" w:rsidRDefault="00271556" w:rsidP="00271556">
      <w:pPr>
        <w:spacing w:after="0"/>
        <w:jc w:val="center"/>
        <w:outlineLvl w:val="0"/>
        <w:rPr>
          <w:rFonts w:ascii="Times New Roman" w:hAnsi="Times New Roman" w:cs="Times New Roman"/>
          <w:b/>
          <w:sz w:val="20"/>
        </w:rPr>
      </w:pPr>
      <w:r w:rsidRPr="004879F6">
        <w:rPr>
          <w:rFonts w:ascii="Times New Roman" w:hAnsi="Times New Roman" w:cs="Times New Roman"/>
          <w:b/>
          <w:sz w:val="20"/>
          <w:szCs w:val="20"/>
        </w:rPr>
        <w:br w:type="page"/>
      </w:r>
      <w:r w:rsidRPr="004879F6">
        <w:rPr>
          <w:rFonts w:ascii="Times New Roman" w:hAnsi="Times New Roman" w:cs="Times New Roman"/>
          <w:b/>
          <w:sz w:val="20"/>
          <w:szCs w:val="20"/>
        </w:rPr>
        <w:lastRenderedPageBreak/>
        <w:t>Modul 2: Klinische Neurophysiologie</w:t>
      </w:r>
    </w:p>
    <w:p w:rsidR="00271556" w:rsidRPr="004879F6" w:rsidRDefault="00271556" w:rsidP="00271556">
      <w:pPr>
        <w:spacing w:after="0"/>
        <w:jc w:val="center"/>
        <w:rPr>
          <w:rFonts w:ascii="Times New Roman" w:hAnsi="Times New Roman" w:cs="Times New Roman"/>
          <w:b/>
          <w:sz w:val="20"/>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271556" w:rsidRPr="004879F6" w:rsidTr="00BE4DBF">
        <w:tc>
          <w:tcPr>
            <w:tcW w:w="0" w:type="auto"/>
            <w:shd w:val="clear" w:color="auto" w:fill="auto"/>
            <w:tcMar>
              <w:top w:w="57" w:type="dxa"/>
              <w:left w:w="284" w:type="dxa"/>
              <w:bottom w:w="57" w:type="dxa"/>
            </w:tcMar>
          </w:tcPr>
          <w:p w:rsidR="00271556" w:rsidRPr="004879F6" w:rsidRDefault="00271556" w:rsidP="00BE4DBF">
            <w:pPr>
              <w:tabs>
                <w:tab w:val="left" w:pos="425"/>
              </w:tabs>
              <w:spacing w:after="0"/>
              <w:rPr>
                <w:rFonts w:ascii="Times New Roman" w:hAnsi="Times New Roman" w:cs="Times New Roman"/>
                <w:b/>
                <w:sz w:val="20"/>
              </w:rPr>
            </w:pPr>
            <w:r w:rsidRPr="004879F6">
              <w:rPr>
                <w:rFonts w:ascii="Times New Roman" w:hAnsi="Times New Roman" w:cs="Times New Roman"/>
                <w:b/>
                <w:sz w:val="20"/>
              </w:rPr>
              <w:t>A)</w:t>
            </w:r>
            <w:r w:rsidRPr="004879F6">
              <w:rPr>
                <w:rFonts w:ascii="Times New Roman" w:hAnsi="Times New Roman" w:cs="Times New Roman"/>
                <w:b/>
                <w:sz w:val="20"/>
              </w:rPr>
              <w:tab/>
              <w:t>Kenntnisse</w:t>
            </w:r>
          </w:p>
        </w:tc>
      </w:tr>
      <w:tr w:rsidR="00271556" w:rsidRPr="004879F6" w:rsidTr="00BE4DBF">
        <w:tc>
          <w:tcPr>
            <w:tcW w:w="0" w:type="auto"/>
            <w:shd w:val="clear" w:color="auto" w:fill="auto"/>
            <w:tcMar>
              <w:top w:w="57" w:type="dxa"/>
              <w:left w:w="284" w:type="dxa"/>
              <w:bottom w:w="57" w:type="dxa"/>
            </w:tcMar>
          </w:tcPr>
          <w:p w:rsidR="00271556" w:rsidRPr="004879F6" w:rsidRDefault="00271556" w:rsidP="00271556">
            <w:pPr>
              <w:numPr>
                <w:ilvl w:val="0"/>
                <w:numId w:val="7"/>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 xml:space="preserve">Technische Grundlagen der EEG-Ableitung, der evozierten Potentiale (EP) und verwandter neurophysiologischer Stimulationsmethoden wie z.B. transkranielle Magnetstimulation, TMS </w:t>
            </w:r>
          </w:p>
        </w:tc>
      </w:tr>
      <w:tr w:rsidR="00271556" w:rsidRPr="004879F6" w:rsidTr="00BE4DBF">
        <w:tc>
          <w:tcPr>
            <w:tcW w:w="0" w:type="auto"/>
            <w:shd w:val="clear" w:color="auto" w:fill="auto"/>
            <w:tcMar>
              <w:top w:w="57" w:type="dxa"/>
              <w:left w:w="284" w:type="dxa"/>
              <w:bottom w:w="57" w:type="dxa"/>
            </w:tcMar>
          </w:tcPr>
          <w:p w:rsidR="00271556" w:rsidRPr="004879F6" w:rsidRDefault="00271556" w:rsidP="00271556">
            <w:pPr>
              <w:numPr>
                <w:ilvl w:val="0"/>
                <w:numId w:val="7"/>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 xml:space="preserve">Physiologische und pathophysiologische Grundlagen </w:t>
            </w:r>
          </w:p>
        </w:tc>
      </w:tr>
      <w:tr w:rsidR="00271556" w:rsidRPr="004879F6" w:rsidTr="00BE4DBF">
        <w:tc>
          <w:tcPr>
            <w:tcW w:w="0" w:type="auto"/>
            <w:shd w:val="clear" w:color="auto" w:fill="auto"/>
            <w:tcMar>
              <w:top w:w="57" w:type="dxa"/>
              <w:left w:w="284" w:type="dxa"/>
              <w:bottom w:w="57" w:type="dxa"/>
            </w:tcMar>
          </w:tcPr>
          <w:p w:rsidR="00271556" w:rsidRPr="004879F6" w:rsidRDefault="00271556" w:rsidP="00271556">
            <w:pPr>
              <w:numPr>
                <w:ilvl w:val="0"/>
                <w:numId w:val="7"/>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Provokationsmethoden</w:t>
            </w:r>
          </w:p>
        </w:tc>
      </w:tr>
      <w:tr w:rsidR="00271556" w:rsidRPr="004879F6" w:rsidTr="00BE4DBF">
        <w:tc>
          <w:tcPr>
            <w:tcW w:w="0" w:type="auto"/>
            <w:shd w:val="clear" w:color="auto" w:fill="auto"/>
            <w:tcMar>
              <w:top w:w="57" w:type="dxa"/>
              <w:left w:w="284" w:type="dxa"/>
              <w:bottom w:w="57" w:type="dxa"/>
            </w:tcMar>
          </w:tcPr>
          <w:p w:rsidR="00271556" w:rsidRPr="004879F6" w:rsidRDefault="00271556" w:rsidP="00271556">
            <w:pPr>
              <w:numPr>
                <w:ilvl w:val="0"/>
                <w:numId w:val="7"/>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EEG im Erwachsenen- und Kindesalter</w:t>
            </w:r>
          </w:p>
        </w:tc>
      </w:tr>
      <w:tr w:rsidR="00271556" w:rsidRPr="004879F6" w:rsidTr="00BE4DBF">
        <w:tc>
          <w:tcPr>
            <w:tcW w:w="0" w:type="auto"/>
            <w:shd w:val="clear" w:color="auto" w:fill="auto"/>
            <w:tcMar>
              <w:top w:w="57" w:type="dxa"/>
              <w:left w:w="284" w:type="dxa"/>
              <w:bottom w:w="57" w:type="dxa"/>
            </w:tcMar>
          </w:tcPr>
          <w:p w:rsidR="00271556" w:rsidRPr="004879F6" w:rsidRDefault="00271556" w:rsidP="00271556">
            <w:pPr>
              <w:numPr>
                <w:ilvl w:val="0"/>
                <w:numId w:val="7"/>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Indikation zur Durchführung von EEGs</w:t>
            </w:r>
          </w:p>
        </w:tc>
      </w:tr>
      <w:tr w:rsidR="00271556" w:rsidRPr="004879F6" w:rsidTr="00BE4DBF">
        <w:tc>
          <w:tcPr>
            <w:tcW w:w="0" w:type="auto"/>
            <w:shd w:val="clear" w:color="auto" w:fill="auto"/>
            <w:tcMar>
              <w:top w:w="57" w:type="dxa"/>
              <w:left w:w="284" w:type="dxa"/>
              <w:bottom w:w="57" w:type="dxa"/>
            </w:tcMar>
          </w:tcPr>
          <w:p w:rsidR="00271556" w:rsidRPr="004879F6" w:rsidRDefault="00271556" w:rsidP="00271556">
            <w:pPr>
              <w:numPr>
                <w:ilvl w:val="0"/>
                <w:numId w:val="7"/>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Einfluss endogener und exogener Faktoren auf die EP</w:t>
            </w:r>
          </w:p>
        </w:tc>
      </w:tr>
      <w:tr w:rsidR="00271556" w:rsidRPr="004879F6" w:rsidTr="00BE4DBF">
        <w:tc>
          <w:tcPr>
            <w:tcW w:w="0" w:type="auto"/>
            <w:shd w:val="clear" w:color="auto" w:fill="auto"/>
            <w:tcMar>
              <w:top w:w="57" w:type="dxa"/>
              <w:left w:w="284" w:type="dxa"/>
              <w:bottom w:w="57" w:type="dxa"/>
            </w:tcMar>
          </w:tcPr>
          <w:p w:rsidR="00271556" w:rsidRPr="004879F6" w:rsidRDefault="00271556" w:rsidP="00271556">
            <w:pPr>
              <w:numPr>
                <w:ilvl w:val="0"/>
                <w:numId w:val="7"/>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Sicherheit und Kontraindikationen bei EP</w:t>
            </w:r>
          </w:p>
        </w:tc>
      </w:tr>
      <w:tr w:rsidR="00271556" w:rsidRPr="004879F6" w:rsidTr="00BE4DBF">
        <w:tc>
          <w:tcPr>
            <w:tcW w:w="0" w:type="auto"/>
            <w:shd w:val="clear" w:color="auto" w:fill="auto"/>
            <w:tcMar>
              <w:top w:w="57" w:type="dxa"/>
              <w:left w:w="284" w:type="dxa"/>
              <w:bottom w:w="57" w:type="dxa"/>
            </w:tcMar>
          </w:tcPr>
          <w:p w:rsidR="00271556" w:rsidRPr="004879F6" w:rsidRDefault="00271556" w:rsidP="00271556">
            <w:pPr>
              <w:numPr>
                <w:ilvl w:val="0"/>
                <w:numId w:val="7"/>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Einfluss endogener und exogener Faktoren auf EMG und ENG</w:t>
            </w:r>
          </w:p>
        </w:tc>
      </w:tr>
      <w:tr w:rsidR="00271556" w:rsidRPr="004879F6" w:rsidTr="00BE4DBF">
        <w:tc>
          <w:tcPr>
            <w:tcW w:w="0" w:type="auto"/>
            <w:shd w:val="clear" w:color="auto" w:fill="auto"/>
            <w:tcMar>
              <w:top w:w="57" w:type="dxa"/>
              <w:left w:w="284" w:type="dxa"/>
              <w:bottom w:w="57" w:type="dxa"/>
            </w:tcMar>
          </w:tcPr>
          <w:p w:rsidR="00271556" w:rsidRPr="004879F6" w:rsidRDefault="00271556" w:rsidP="00271556">
            <w:pPr>
              <w:numPr>
                <w:ilvl w:val="0"/>
                <w:numId w:val="7"/>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Indikation von EMG/ENG</w:t>
            </w:r>
          </w:p>
        </w:tc>
      </w:tr>
      <w:tr w:rsidR="00271556" w:rsidRPr="004879F6" w:rsidTr="00BE4DBF">
        <w:tc>
          <w:tcPr>
            <w:tcW w:w="0" w:type="auto"/>
            <w:shd w:val="clear" w:color="auto" w:fill="auto"/>
            <w:tcMar>
              <w:top w:w="57" w:type="dxa"/>
              <w:left w:w="284" w:type="dxa"/>
              <w:bottom w:w="57" w:type="dxa"/>
            </w:tcMar>
          </w:tcPr>
          <w:p w:rsidR="00271556" w:rsidRPr="004879F6" w:rsidRDefault="00271556" w:rsidP="00271556">
            <w:pPr>
              <w:numPr>
                <w:ilvl w:val="0"/>
                <w:numId w:val="7"/>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Korrelation der Ergebnisse mit strukturellen Befunden (CT, MRI, Nerven- und Muskelsonographie und relevanter Neuropathologie)</w:t>
            </w:r>
          </w:p>
        </w:tc>
      </w:tr>
    </w:tbl>
    <w:p w:rsidR="00271556" w:rsidRPr="004879F6" w:rsidRDefault="00271556" w:rsidP="00271556">
      <w:pPr>
        <w:spacing w:after="0" w:line="240" w:lineRule="atLeast"/>
        <w:rPr>
          <w:rFonts w:ascii="Times New Roman" w:hAnsi="Times New Roman" w:cs="Times New Roman"/>
          <w:sz w:val="20"/>
          <w:szCs w:val="20"/>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271556" w:rsidRPr="004879F6" w:rsidTr="00BE4DBF">
        <w:tc>
          <w:tcPr>
            <w:tcW w:w="9356" w:type="dxa"/>
            <w:shd w:val="clear" w:color="auto" w:fill="auto"/>
            <w:tcMar>
              <w:top w:w="57" w:type="dxa"/>
              <w:left w:w="284" w:type="dxa"/>
              <w:bottom w:w="57" w:type="dxa"/>
            </w:tcMar>
          </w:tcPr>
          <w:p w:rsidR="00271556" w:rsidRPr="004879F6" w:rsidRDefault="00271556" w:rsidP="00BE4DBF">
            <w:pPr>
              <w:tabs>
                <w:tab w:val="left" w:pos="425"/>
                <w:tab w:val="left" w:pos="1859"/>
                <w:tab w:val="left" w:pos="2552"/>
                <w:tab w:val="left" w:pos="2977"/>
              </w:tabs>
              <w:spacing w:after="0"/>
              <w:rPr>
                <w:rFonts w:ascii="Times New Roman" w:hAnsi="Times New Roman" w:cs="Times New Roman"/>
                <w:b/>
                <w:sz w:val="20"/>
              </w:rPr>
            </w:pPr>
            <w:r w:rsidRPr="004879F6">
              <w:rPr>
                <w:rFonts w:ascii="Times New Roman" w:hAnsi="Times New Roman" w:cs="Times New Roman"/>
                <w:b/>
                <w:sz w:val="20"/>
              </w:rPr>
              <w:t>B)</w:t>
            </w:r>
            <w:r w:rsidRPr="004879F6">
              <w:rPr>
                <w:rFonts w:ascii="Times New Roman" w:hAnsi="Times New Roman" w:cs="Times New Roman"/>
                <w:b/>
                <w:sz w:val="20"/>
              </w:rPr>
              <w:tab/>
              <w:t>Erfahrungen</w:t>
            </w:r>
          </w:p>
        </w:tc>
      </w:tr>
      <w:tr w:rsidR="00271556" w:rsidRPr="004879F6" w:rsidTr="00BE4DBF">
        <w:tc>
          <w:tcPr>
            <w:tcW w:w="9356" w:type="dxa"/>
            <w:shd w:val="clear" w:color="auto" w:fill="auto"/>
            <w:tcMar>
              <w:top w:w="57" w:type="dxa"/>
              <w:left w:w="284" w:type="dxa"/>
              <w:bottom w:w="57" w:type="dxa"/>
            </w:tcMar>
          </w:tcPr>
          <w:p w:rsidR="00271556" w:rsidRPr="004879F6" w:rsidRDefault="00271556" w:rsidP="00271556">
            <w:pPr>
              <w:numPr>
                <w:ilvl w:val="0"/>
                <w:numId w:val="8"/>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EEG-Diagnostik inkl. Spezialmethoden wie z.B. Video-EEG in Epilepsiemonitoringeinheiten, EEG-Monitoring auf Intensivstationen und Stroke units etc. in allen Altersstufen</w:t>
            </w:r>
          </w:p>
        </w:tc>
      </w:tr>
      <w:tr w:rsidR="00271556" w:rsidRPr="004879F6" w:rsidTr="00BE4DBF">
        <w:tc>
          <w:tcPr>
            <w:tcW w:w="9356" w:type="dxa"/>
            <w:shd w:val="clear" w:color="auto" w:fill="auto"/>
            <w:tcMar>
              <w:top w:w="57" w:type="dxa"/>
              <w:left w:w="284" w:type="dxa"/>
              <w:bottom w:w="57" w:type="dxa"/>
            </w:tcMar>
          </w:tcPr>
          <w:p w:rsidR="00271556" w:rsidRPr="004879F6" w:rsidRDefault="00271556" w:rsidP="00271556">
            <w:pPr>
              <w:numPr>
                <w:ilvl w:val="0"/>
                <w:numId w:val="8"/>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 xml:space="preserve">EEG-Ableitung inkl. Provokationsmethoden </w:t>
            </w:r>
          </w:p>
        </w:tc>
      </w:tr>
      <w:tr w:rsidR="00271556" w:rsidRPr="004879F6" w:rsidTr="00BE4DBF">
        <w:tc>
          <w:tcPr>
            <w:tcW w:w="9356" w:type="dxa"/>
            <w:shd w:val="clear" w:color="auto" w:fill="auto"/>
            <w:tcMar>
              <w:top w:w="57" w:type="dxa"/>
              <w:left w:w="284" w:type="dxa"/>
              <w:bottom w:w="57" w:type="dxa"/>
            </w:tcMar>
          </w:tcPr>
          <w:p w:rsidR="00271556" w:rsidRPr="004879F6" w:rsidRDefault="00271556" w:rsidP="00271556">
            <w:pPr>
              <w:numPr>
                <w:ilvl w:val="0"/>
                <w:numId w:val="8"/>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EEG im Rahmen der Hirntoddiagnostik</w:t>
            </w:r>
          </w:p>
        </w:tc>
      </w:tr>
      <w:tr w:rsidR="00271556" w:rsidRPr="004879F6" w:rsidTr="00BE4DBF">
        <w:tc>
          <w:tcPr>
            <w:tcW w:w="9356" w:type="dxa"/>
            <w:shd w:val="clear" w:color="auto" w:fill="auto"/>
            <w:tcMar>
              <w:top w:w="57" w:type="dxa"/>
              <w:left w:w="284" w:type="dxa"/>
              <w:bottom w:w="57" w:type="dxa"/>
            </w:tcMar>
          </w:tcPr>
          <w:p w:rsidR="00271556" w:rsidRPr="004879F6" w:rsidRDefault="00271556" w:rsidP="00271556">
            <w:pPr>
              <w:numPr>
                <w:ilvl w:val="0"/>
                <w:numId w:val="8"/>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Evozierte Potenziale (EP) und andere neurophysiologische Stimulationsmethoden</w:t>
            </w:r>
          </w:p>
        </w:tc>
      </w:tr>
      <w:tr w:rsidR="00271556" w:rsidRPr="004879F6" w:rsidTr="00BE4DBF">
        <w:tc>
          <w:tcPr>
            <w:tcW w:w="9356" w:type="dxa"/>
            <w:shd w:val="clear" w:color="auto" w:fill="auto"/>
            <w:tcMar>
              <w:top w:w="57" w:type="dxa"/>
              <w:left w:w="284" w:type="dxa"/>
              <w:bottom w:w="57" w:type="dxa"/>
            </w:tcMar>
          </w:tcPr>
          <w:p w:rsidR="00271556" w:rsidRPr="004879F6" w:rsidRDefault="00271556" w:rsidP="00271556">
            <w:pPr>
              <w:numPr>
                <w:ilvl w:val="0"/>
                <w:numId w:val="8"/>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Klinische Interpretation aller Methoden zur Untersuchung des neuromuskulären Systems</w:t>
            </w:r>
          </w:p>
        </w:tc>
      </w:tr>
    </w:tbl>
    <w:p w:rsidR="00271556" w:rsidRPr="004879F6" w:rsidRDefault="00271556" w:rsidP="00271556">
      <w:pPr>
        <w:spacing w:after="0" w:line="240" w:lineRule="atLeast"/>
        <w:rPr>
          <w:rFonts w:ascii="Times New Roman" w:hAnsi="Times New Roman" w:cs="Times New Roman"/>
          <w:sz w:val="20"/>
          <w:szCs w:val="20"/>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1418"/>
      </w:tblGrid>
      <w:tr w:rsidR="00271556" w:rsidRPr="004879F6" w:rsidTr="00BE4DBF">
        <w:tc>
          <w:tcPr>
            <w:tcW w:w="0" w:type="auto"/>
            <w:shd w:val="clear" w:color="auto" w:fill="auto"/>
            <w:tcMar>
              <w:top w:w="57" w:type="dxa"/>
              <w:left w:w="284" w:type="dxa"/>
              <w:bottom w:w="57" w:type="dxa"/>
            </w:tcMar>
          </w:tcPr>
          <w:p w:rsidR="00271556" w:rsidRPr="004879F6" w:rsidRDefault="00271556" w:rsidP="00BE4DBF">
            <w:pPr>
              <w:tabs>
                <w:tab w:val="left" w:pos="425"/>
                <w:tab w:val="left" w:pos="1859"/>
                <w:tab w:val="left" w:pos="2552"/>
                <w:tab w:val="left" w:pos="2977"/>
              </w:tabs>
              <w:spacing w:after="0"/>
              <w:rPr>
                <w:rFonts w:ascii="Times New Roman" w:hAnsi="Times New Roman" w:cs="Times New Roman"/>
                <w:b/>
                <w:sz w:val="20"/>
              </w:rPr>
            </w:pPr>
            <w:r w:rsidRPr="004879F6">
              <w:rPr>
                <w:rFonts w:ascii="Times New Roman" w:hAnsi="Times New Roman" w:cs="Times New Roman"/>
                <w:b/>
                <w:sz w:val="20"/>
              </w:rPr>
              <w:t>C)</w:t>
            </w:r>
            <w:r w:rsidRPr="004879F6">
              <w:rPr>
                <w:rFonts w:ascii="Times New Roman" w:hAnsi="Times New Roman" w:cs="Times New Roman"/>
                <w:b/>
                <w:sz w:val="20"/>
              </w:rPr>
              <w:tab/>
              <w:t>Fertigkeiten</w:t>
            </w:r>
          </w:p>
        </w:tc>
        <w:tc>
          <w:tcPr>
            <w:tcW w:w="1418"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b/>
                <w:sz w:val="20"/>
              </w:rPr>
            </w:pPr>
            <w:r w:rsidRPr="004879F6">
              <w:rPr>
                <w:rFonts w:ascii="Times New Roman" w:hAnsi="Times New Roman" w:cs="Times New Roman"/>
                <w:b/>
                <w:sz w:val="20"/>
              </w:rPr>
              <w:t>Richtzahl</w:t>
            </w:r>
          </w:p>
        </w:tc>
      </w:tr>
      <w:tr w:rsidR="00271556" w:rsidRPr="004879F6" w:rsidTr="00BE4DBF">
        <w:tc>
          <w:tcPr>
            <w:tcW w:w="0" w:type="auto"/>
            <w:shd w:val="clear" w:color="auto" w:fill="auto"/>
            <w:tcMar>
              <w:top w:w="57" w:type="dxa"/>
              <w:left w:w="284" w:type="dxa"/>
              <w:bottom w:w="57" w:type="dxa"/>
            </w:tcMar>
          </w:tcPr>
          <w:p w:rsidR="00271556" w:rsidRPr="004879F6" w:rsidRDefault="00271556" w:rsidP="00271556">
            <w:pPr>
              <w:numPr>
                <w:ilvl w:val="0"/>
                <w:numId w:val="21"/>
              </w:numPr>
              <w:spacing w:after="0" w:line="240" w:lineRule="auto"/>
              <w:ind w:left="426" w:hanging="426"/>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Interpretation und Befundung des EEG inkl. Spezialmethoden wie z.B. Video-EEG in Epilepsiemonitoringeinheiten, EEG-Monitoring auf Intensivstationen und Stroke units etc. in allen Altersstufen u</w:t>
            </w:r>
            <w:r w:rsidRPr="004879F6">
              <w:rPr>
                <w:rFonts w:ascii="Times New Roman" w:hAnsi="Times New Roman" w:cs="Times New Roman"/>
                <w:sz w:val="20"/>
              </w:rPr>
              <w:t>nter Anrechnung der Zahlen aus der Sonderfach- Grundausbildung</w:t>
            </w:r>
          </w:p>
        </w:tc>
        <w:tc>
          <w:tcPr>
            <w:tcW w:w="1418"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r w:rsidRPr="004879F6">
              <w:rPr>
                <w:rFonts w:ascii="Times New Roman" w:hAnsi="Times New Roman" w:cs="Times New Roman"/>
                <w:sz w:val="20"/>
              </w:rPr>
              <w:t>500</w:t>
            </w:r>
          </w:p>
        </w:tc>
      </w:tr>
      <w:tr w:rsidR="00271556" w:rsidRPr="004879F6" w:rsidTr="00BE4DBF">
        <w:tc>
          <w:tcPr>
            <w:tcW w:w="0" w:type="auto"/>
            <w:shd w:val="clear" w:color="auto" w:fill="auto"/>
            <w:tcMar>
              <w:top w:w="57" w:type="dxa"/>
              <w:left w:w="284" w:type="dxa"/>
              <w:bottom w:w="57" w:type="dxa"/>
            </w:tcMar>
          </w:tcPr>
          <w:p w:rsidR="00271556" w:rsidRPr="004879F6" w:rsidRDefault="00271556" w:rsidP="00271556">
            <w:pPr>
              <w:numPr>
                <w:ilvl w:val="0"/>
                <w:numId w:val="21"/>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 xml:space="preserve">Durchführung von EEG-Ableitung inkl. Provokationsmethoden </w:t>
            </w:r>
          </w:p>
        </w:tc>
        <w:tc>
          <w:tcPr>
            <w:tcW w:w="1418"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r w:rsidRPr="004879F6">
              <w:rPr>
                <w:rFonts w:ascii="Times New Roman" w:hAnsi="Times New Roman" w:cs="Times New Roman"/>
                <w:sz w:val="20"/>
              </w:rPr>
              <w:t>30</w:t>
            </w:r>
          </w:p>
        </w:tc>
      </w:tr>
      <w:tr w:rsidR="00271556" w:rsidRPr="004879F6" w:rsidTr="00BE4DBF">
        <w:tc>
          <w:tcPr>
            <w:tcW w:w="0" w:type="auto"/>
            <w:shd w:val="clear" w:color="auto" w:fill="auto"/>
            <w:tcMar>
              <w:top w:w="57" w:type="dxa"/>
              <w:left w:w="284" w:type="dxa"/>
              <w:bottom w:w="57" w:type="dxa"/>
            </w:tcMar>
          </w:tcPr>
          <w:p w:rsidR="00271556" w:rsidRPr="004879F6" w:rsidRDefault="00271556" w:rsidP="00271556">
            <w:pPr>
              <w:numPr>
                <w:ilvl w:val="0"/>
                <w:numId w:val="21"/>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Durchführung, Befundung und Interpretation des EEG im Rahmen der Hirntoddiagnostik</w:t>
            </w:r>
          </w:p>
        </w:tc>
        <w:tc>
          <w:tcPr>
            <w:tcW w:w="1418"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p>
        </w:tc>
      </w:tr>
      <w:tr w:rsidR="00271556" w:rsidRPr="004879F6" w:rsidTr="00BE4DBF">
        <w:tc>
          <w:tcPr>
            <w:tcW w:w="0" w:type="auto"/>
            <w:shd w:val="clear" w:color="auto" w:fill="auto"/>
            <w:tcMar>
              <w:top w:w="57" w:type="dxa"/>
              <w:left w:w="284" w:type="dxa"/>
              <w:bottom w:w="57" w:type="dxa"/>
            </w:tcMar>
          </w:tcPr>
          <w:p w:rsidR="00271556" w:rsidRPr="004879F6" w:rsidRDefault="00271556" w:rsidP="00271556">
            <w:pPr>
              <w:numPr>
                <w:ilvl w:val="0"/>
                <w:numId w:val="21"/>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Durchführung, Befundung und klinische Interpretation von evozierten Potentialen (EP) und anderen neurophysiologischen Stimulationsmethoden</w:t>
            </w:r>
          </w:p>
        </w:tc>
        <w:tc>
          <w:tcPr>
            <w:tcW w:w="1418"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r w:rsidRPr="004879F6">
              <w:rPr>
                <w:rFonts w:ascii="Times New Roman" w:hAnsi="Times New Roman" w:cs="Times New Roman"/>
                <w:sz w:val="20"/>
              </w:rPr>
              <w:t>100</w:t>
            </w:r>
          </w:p>
        </w:tc>
      </w:tr>
      <w:tr w:rsidR="00271556" w:rsidRPr="004879F6" w:rsidTr="00BE4DBF">
        <w:tc>
          <w:tcPr>
            <w:tcW w:w="0" w:type="auto"/>
            <w:shd w:val="clear" w:color="auto" w:fill="auto"/>
            <w:tcMar>
              <w:top w:w="57" w:type="dxa"/>
              <w:left w:w="284" w:type="dxa"/>
              <w:bottom w:w="57" w:type="dxa"/>
            </w:tcMar>
          </w:tcPr>
          <w:p w:rsidR="00271556" w:rsidRPr="004879F6" w:rsidRDefault="00271556" w:rsidP="00271556">
            <w:pPr>
              <w:numPr>
                <w:ilvl w:val="0"/>
                <w:numId w:val="21"/>
              </w:numPr>
              <w:spacing w:after="0" w:line="240" w:lineRule="auto"/>
              <w:ind w:left="425" w:hanging="425"/>
              <w:rPr>
                <w:rFonts w:ascii="Times New Roman" w:hAnsi="Times New Roman" w:cs="Times New Roman"/>
                <w:sz w:val="20"/>
                <w:szCs w:val="20"/>
              </w:rPr>
            </w:pPr>
            <w:r w:rsidRPr="004879F6">
              <w:rPr>
                <w:rFonts w:ascii="Times New Roman" w:eastAsia="Times New Roman" w:hAnsi="Times New Roman" w:cs="Times New Roman"/>
                <w:sz w:val="20"/>
                <w:szCs w:val="20"/>
                <w:lang w:eastAsia="de-AT"/>
              </w:rPr>
              <w:t>Durchführung</w:t>
            </w:r>
            <w:r w:rsidRPr="004879F6">
              <w:rPr>
                <w:rFonts w:ascii="Times New Roman" w:hAnsi="Times New Roman" w:cs="Times New Roman"/>
                <w:sz w:val="20"/>
                <w:szCs w:val="20"/>
              </w:rPr>
              <w:t>, Befundung und klinische Interpretation aller Methoden zur Untersuchung des neuromuskulären Systems u</w:t>
            </w:r>
            <w:r w:rsidRPr="004879F6">
              <w:rPr>
                <w:rFonts w:ascii="Times New Roman" w:hAnsi="Times New Roman" w:cs="Times New Roman"/>
                <w:sz w:val="20"/>
              </w:rPr>
              <w:t>nter Anrechnung der Zahlen aus der Sonderfach-Grundausbildung</w:t>
            </w:r>
          </w:p>
        </w:tc>
        <w:tc>
          <w:tcPr>
            <w:tcW w:w="1418"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r w:rsidRPr="004879F6">
              <w:rPr>
                <w:rFonts w:ascii="Times New Roman" w:hAnsi="Times New Roman" w:cs="Times New Roman"/>
                <w:sz w:val="20"/>
              </w:rPr>
              <w:t>250</w:t>
            </w:r>
          </w:p>
          <w:p w:rsidR="00271556" w:rsidRPr="004879F6" w:rsidRDefault="00271556" w:rsidP="00BE4DBF">
            <w:pPr>
              <w:spacing w:after="0"/>
              <w:jc w:val="center"/>
              <w:rPr>
                <w:rFonts w:ascii="Times New Roman" w:hAnsi="Times New Roman" w:cs="Times New Roman"/>
                <w:sz w:val="20"/>
              </w:rPr>
            </w:pPr>
            <w:r w:rsidRPr="004879F6">
              <w:rPr>
                <w:rFonts w:ascii="Times New Roman" w:hAnsi="Times New Roman" w:cs="Times New Roman"/>
                <w:sz w:val="20"/>
              </w:rPr>
              <w:t>(davon 100 Nadel-EMG)</w:t>
            </w:r>
          </w:p>
        </w:tc>
      </w:tr>
    </w:tbl>
    <w:p w:rsidR="00271556" w:rsidRPr="004879F6" w:rsidRDefault="00271556" w:rsidP="00271556">
      <w:pPr>
        <w:spacing w:after="0"/>
        <w:jc w:val="center"/>
        <w:outlineLvl w:val="0"/>
        <w:rPr>
          <w:rFonts w:ascii="Times New Roman" w:hAnsi="Times New Roman" w:cs="Times New Roman"/>
          <w:b/>
          <w:sz w:val="20"/>
          <w:szCs w:val="20"/>
          <w:vertAlign w:val="subscript"/>
        </w:rPr>
      </w:pPr>
    </w:p>
    <w:p w:rsidR="00271556" w:rsidRPr="004879F6" w:rsidRDefault="00271556" w:rsidP="00271556">
      <w:pPr>
        <w:spacing w:after="0"/>
        <w:jc w:val="center"/>
        <w:outlineLvl w:val="0"/>
        <w:rPr>
          <w:rFonts w:ascii="Times New Roman" w:hAnsi="Times New Roman" w:cs="Times New Roman"/>
          <w:b/>
          <w:sz w:val="20"/>
        </w:rPr>
      </w:pPr>
      <w:r w:rsidRPr="004879F6">
        <w:rPr>
          <w:rFonts w:ascii="Times New Roman" w:hAnsi="Times New Roman" w:cs="Times New Roman"/>
          <w:b/>
          <w:sz w:val="20"/>
          <w:szCs w:val="20"/>
          <w:vertAlign w:val="subscript"/>
        </w:rPr>
        <w:br w:type="page"/>
      </w:r>
      <w:r w:rsidRPr="004879F6">
        <w:rPr>
          <w:rFonts w:ascii="Times New Roman" w:hAnsi="Times New Roman" w:cs="Times New Roman"/>
          <w:b/>
          <w:sz w:val="20"/>
        </w:rPr>
        <w:lastRenderedPageBreak/>
        <w:t>Modul 3: Neurogeriatrie</w:t>
      </w:r>
    </w:p>
    <w:p w:rsidR="00271556" w:rsidRPr="004879F6" w:rsidRDefault="00271556" w:rsidP="00271556">
      <w:pPr>
        <w:spacing w:after="0"/>
        <w:jc w:val="center"/>
        <w:rPr>
          <w:rFonts w:ascii="Times New Roman" w:hAnsi="Times New Roman" w:cs="Times New Roman"/>
          <w:b/>
          <w:sz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271556" w:rsidRPr="004879F6" w:rsidTr="00BE4DBF">
        <w:tc>
          <w:tcPr>
            <w:tcW w:w="9526" w:type="dxa"/>
            <w:shd w:val="clear" w:color="auto" w:fill="auto"/>
            <w:tcMar>
              <w:top w:w="57" w:type="dxa"/>
              <w:left w:w="284" w:type="dxa"/>
              <w:bottom w:w="57" w:type="dxa"/>
            </w:tcMar>
          </w:tcPr>
          <w:p w:rsidR="00271556" w:rsidRPr="004879F6" w:rsidRDefault="00271556" w:rsidP="00BE4DBF">
            <w:pPr>
              <w:tabs>
                <w:tab w:val="left" w:pos="425"/>
              </w:tabs>
              <w:spacing w:after="0"/>
              <w:rPr>
                <w:rFonts w:ascii="Times New Roman" w:hAnsi="Times New Roman" w:cs="Times New Roman"/>
                <w:b/>
                <w:sz w:val="20"/>
              </w:rPr>
            </w:pPr>
            <w:r w:rsidRPr="004879F6">
              <w:rPr>
                <w:rFonts w:ascii="Times New Roman" w:hAnsi="Times New Roman" w:cs="Times New Roman"/>
                <w:b/>
                <w:sz w:val="20"/>
              </w:rPr>
              <w:t>A)</w:t>
            </w:r>
            <w:r w:rsidRPr="004879F6">
              <w:rPr>
                <w:rFonts w:ascii="Times New Roman" w:hAnsi="Times New Roman" w:cs="Times New Roman"/>
                <w:b/>
                <w:sz w:val="20"/>
              </w:rPr>
              <w:tab/>
              <w:t>Kenntnisse</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9"/>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Ätiologie, Pathogenese, Pathophysiologie und Symptomatologie, Diagnostik, Therapien und Prognose von neurologischen Erkrankungen, Syndromen und Behinderungen inkl. psychiatrische Begleitsymptome neurogeriatrischer Erkrankungen</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9"/>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Gesundheitsförderung und präventive Maßnahmen von neurologischen Erkrankungen im höheren Lebensalter</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9"/>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 xml:space="preserve">Psychosoziale und forensische Aspekte bei der Betreuung neurogeriatrischer </w:t>
            </w:r>
            <w:r w:rsidRPr="004879F6">
              <w:rPr>
                <w:rFonts w:ascii="Times New Roman" w:hAnsi="Times New Roman" w:cs="Times New Roman"/>
                <w:sz w:val="20"/>
              </w:rPr>
              <w:t>Patienti</w:t>
            </w:r>
            <w:r w:rsidRPr="004879F6">
              <w:rPr>
                <w:rFonts w:ascii="Times New Roman" w:hAnsi="Times New Roman" w:cs="Times New Roman"/>
                <w:sz w:val="20"/>
                <w:szCs w:val="20"/>
              </w:rPr>
              <w:t>nn</w:t>
            </w:r>
            <w:r w:rsidRPr="004879F6">
              <w:rPr>
                <w:rFonts w:ascii="Times New Roman" w:hAnsi="Times New Roman" w:cs="Times New Roman"/>
                <w:sz w:val="20"/>
              </w:rPr>
              <w:t>en und Patienten</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9"/>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Soziale und ökonomische Aspekte neurogeriatrischer Erkrankungen</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9"/>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Kommunikationstechniken, Umgang mit Demenzkranken</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9"/>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 xml:space="preserve">Case-Management von neurogeriatrischen </w:t>
            </w:r>
            <w:r w:rsidRPr="004879F6">
              <w:rPr>
                <w:rFonts w:ascii="Times New Roman" w:hAnsi="Times New Roman" w:cs="Times New Roman"/>
                <w:sz w:val="20"/>
              </w:rPr>
              <w:t>Patienti</w:t>
            </w:r>
            <w:r w:rsidRPr="004879F6">
              <w:rPr>
                <w:rFonts w:ascii="Times New Roman" w:hAnsi="Times New Roman" w:cs="Times New Roman"/>
                <w:sz w:val="20"/>
                <w:szCs w:val="20"/>
              </w:rPr>
              <w:t>nn</w:t>
            </w:r>
            <w:r w:rsidRPr="004879F6">
              <w:rPr>
                <w:rFonts w:ascii="Times New Roman" w:hAnsi="Times New Roman" w:cs="Times New Roman"/>
                <w:sz w:val="20"/>
              </w:rPr>
              <w:t>en und Patienten</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9"/>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 xml:space="preserve">Evaluierungsinstrumente bei neurogeriatrischen </w:t>
            </w:r>
            <w:r w:rsidRPr="004879F6">
              <w:rPr>
                <w:rFonts w:ascii="Times New Roman" w:hAnsi="Times New Roman" w:cs="Times New Roman"/>
                <w:sz w:val="20"/>
              </w:rPr>
              <w:t>Patienti</w:t>
            </w:r>
            <w:r w:rsidRPr="004879F6">
              <w:rPr>
                <w:rFonts w:ascii="Times New Roman" w:hAnsi="Times New Roman" w:cs="Times New Roman"/>
                <w:sz w:val="20"/>
                <w:szCs w:val="20"/>
              </w:rPr>
              <w:t>nn</w:t>
            </w:r>
            <w:r w:rsidRPr="004879F6">
              <w:rPr>
                <w:rFonts w:ascii="Times New Roman" w:hAnsi="Times New Roman" w:cs="Times New Roman"/>
                <w:sz w:val="20"/>
              </w:rPr>
              <w:t>en und Patienten</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9"/>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 xml:space="preserve">Polypharmazie bei neurogeriatrischen </w:t>
            </w:r>
            <w:r w:rsidRPr="004879F6">
              <w:rPr>
                <w:rFonts w:ascii="Times New Roman" w:hAnsi="Times New Roman" w:cs="Times New Roman"/>
                <w:sz w:val="20"/>
              </w:rPr>
              <w:t>Patienti</w:t>
            </w:r>
            <w:r w:rsidRPr="004879F6">
              <w:rPr>
                <w:rFonts w:ascii="Times New Roman" w:hAnsi="Times New Roman" w:cs="Times New Roman"/>
                <w:sz w:val="20"/>
                <w:szCs w:val="20"/>
              </w:rPr>
              <w:t>nn</w:t>
            </w:r>
            <w:r w:rsidRPr="004879F6">
              <w:rPr>
                <w:rFonts w:ascii="Times New Roman" w:hAnsi="Times New Roman" w:cs="Times New Roman"/>
                <w:sz w:val="20"/>
              </w:rPr>
              <w:t>en und Patienten</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9"/>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 xml:space="preserve">Physio- und ergotherapeutische, logopädische, ernährungstherapeutische psychologische und pflegerische Erfordernisse und Möglichkeiten bei neurogeriatrischen </w:t>
            </w:r>
            <w:r w:rsidRPr="004879F6">
              <w:rPr>
                <w:rFonts w:ascii="Times New Roman" w:hAnsi="Times New Roman" w:cs="Times New Roman"/>
                <w:sz w:val="20"/>
              </w:rPr>
              <w:t>Patienti</w:t>
            </w:r>
            <w:r w:rsidRPr="004879F6">
              <w:rPr>
                <w:rFonts w:ascii="Times New Roman" w:hAnsi="Times New Roman" w:cs="Times New Roman"/>
                <w:sz w:val="20"/>
                <w:szCs w:val="20"/>
              </w:rPr>
              <w:t>nn</w:t>
            </w:r>
            <w:r w:rsidRPr="004879F6">
              <w:rPr>
                <w:rFonts w:ascii="Times New Roman" w:hAnsi="Times New Roman" w:cs="Times New Roman"/>
                <w:sz w:val="20"/>
              </w:rPr>
              <w:t>en und Patienten</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9"/>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Rechtliche Grundzüge der Sozialhilfe und Pflege für die Umsetzung des Nahtstellenmanagements sowie Aspekte der Sachwalterschaft im Rahmen neurogeriatrischer Erkrankungen</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4"/>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Anatomie und Physiologie des Schluckaktes</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4"/>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Pathophysiologie Schluckstörungen</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4"/>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Ablauf der endoskopischen Schluckdiagnostik</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4"/>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Komplikationen der endoskopischen Schluckdiagnostik</w:t>
            </w:r>
          </w:p>
        </w:tc>
      </w:tr>
    </w:tbl>
    <w:p w:rsidR="00271556" w:rsidRPr="004879F6" w:rsidRDefault="00271556" w:rsidP="00271556">
      <w:pPr>
        <w:spacing w:after="0" w:line="240" w:lineRule="auto"/>
        <w:rPr>
          <w:rFonts w:ascii="Times New Roman" w:hAnsi="Times New Roman" w:cs="Times New Roman"/>
          <w:sz w:val="20"/>
          <w:szCs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271556" w:rsidRPr="004879F6" w:rsidTr="00BE4DBF">
        <w:tc>
          <w:tcPr>
            <w:tcW w:w="9356" w:type="dxa"/>
            <w:shd w:val="clear" w:color="auto" w:fill="auto"/>
            <w:tcMar>
              <w:top w:w="57" w:type="dxa"/>
              <w:left w:w="284" w:type="dxa"/>
              <w:bottom w:w="57" w:type="dxa"/>
            </w:tcMar>
          </w:tcPr>
          <w:p w:rsidR="00271556" w:rsidRPr="004879F6" w:rsidRDefault="00271556" w:rsidP="00BE4DBF">
            <w:pPr>
              <w:tabs>
                <w:tab w:val="left" w:pos="425"/>
              </w:tabs>
              <w:spacing w:after="0"/>
              <w:rPr>
                <w:rFonts w:ascii="Times New Roman" w:hAnsi="Times New Roman" w:cs="Times New Roman"/>
                <w:b/>
                <w:sz w:val="20"/>
              </w:rPr>
            </w:pPr>
            <w:r w:rsidRPr="004879F6">
              <w:rPr>
                <w:rFonts w:ascii="Times New Roman" w:hAnsi="Times New Roman" w:cs="Times New Roman"/>
                <w:b/>
                <w:sz w:val="20"/>
              </w:rPr>
              <w:t>B)</w:t>
            </w:r>
            <w:r w:rsidRPr="004879F6">
              <w:rPr>
                <w:rFonts w:ascii="Times New Roman" w:hAnsi="Times New Roman" w:cs="Times New Roman"/>
                <w:b/>
                <w:sz w:val="20"/>
              </w:rPr>
              <w:tab/>
              <w:t>Erfahrungen</w:t>
            </w:r>
          </w:p>
        </w:tc>
      </w:tr>
      <w:tr w:rsidR="00271556" w:rsidRPr="004879F6" w:rsidTr="00BE4DBF">
        <w:tc>
          <w:tcPr>
            <w:tcW w:w="9356" w:type="dxa"/>
            <w:shd w:val="clear" w:color="auto" w:fill="auto"/>
            <w:tcMar>
              <w:top w:w="57" w:type="dxa"/>
              <w:left w:w="284" w:type="dxa"/>
              <w:bottom w:w="57" w:type="dxa"/>
            </w:tcMar>
          </w:tcPr>
          <w:p w:rsidR="00271556" w:rsidRPr="004879F6" w:rsidRDefault="00271556" w:rsidP="00271556">
            <w:pPr>
              <w:numPr>
                <w:ilvl w:val="0"/>
                <w:numId w:val="10"/>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 xml:space="preserve">Betreuung neurogeriatrischer </w:t>
            </w:r>
            <w:r w:rsidRPr="004879F6">
              <w:rPr>
                <w:rFonts w:ascii="Times New Roman" w:hAnsi="Times New Roman" w:cs="Times New Roman"/>
                <w:sz w:val="20"/>
              </w:rPr>
              <w:t>Patienti</w:t>
            </w:r>
            <w:r w:rsidRPr="004879F6">
              <w:rPr>
                <w:rFonts w:ascii="Times New Roman" w:hAnsi="Times New Roman" w:cs="Times New Roman"/>
                <w:sz w:val="20"/>
                <w:szCs w:val="20"/>
              </w:rPr>
              <w:t>nn</w:t>
            </w:r>
            <w:r w:rsidRPr="004879F6">
              <w:rPr>
                <w:rFonts w:ascii="Times New Roman" w:hAnsi="Times New Roman" w:cs="Times New Roman"/>
                <w:sz w:val="20"/>
              </w:rPr>
              <w:t>en und Patienten</w:t>
            </w:r>
          </w:p>
        </w:tc>
      </w:tr>
      <w:tr w:rsidR="00271556" w:rsidRPr="004879F6" w:rsidTr="00BE4DBF">
        <w:tc>
          <w:tcPr>
            <w:tcW w:w="9356" w:type="dxa"/>
            <w:shd w:val="clear" w:color="auto" w:fill="auto"/>
            <w:tcMar>
              <w:top w:w="57" w:type="dxa"/>
              <w:left w:w="284" w:type="dxa"/>
              <w:bottom w:w="57" w:type="dxa"/>
            </w:tcMar>
          </w:tcPr>
          <w:p w:rsidR="00271556" w:rsidRPr="004879F6" w:rsidRDefault="00271556" w:rsidP="00271556">
            <w:pPr>
              <w:numPr>
                <w:ilvl w:val="0"/>
                <w:numId w:val="10"/>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Methoden der Rehabilitation im stationären, teilstationären und ambulanten Bereich im Allgemeinen und mit besonderer Berücksichtigung von Demenz, altersassoziierten neurologischen Bewegungsstörungen und Erkrankungen des peripheren Nervensystems und der Muskulatur</w:t>
            </w:r>
          </w:p>
        </w:tc>
      </w:tr>
      <w:tr w:rsidR="00271556" w:rsidRPr="004879F6" w:rsidTr="00BE4DBF">
        <w:tc>
          <w:tcPr>
            <w:tcW w:w="9356" w:type="dxa"/>
            <w:shd w:val="clear" w:color="auto" w:fill="auto"/>
            <w:tcMar>
              <w:top w:w="57" w:type="dxa"/>
              <w:left w:w="284" w:type="dxa"/>
              <w:bottom w:w="57" w:type="dxa"/>
            </w:tcMar>
          </w:tcPr>
          <w:p w:rsidR="00271556" w:rsidRPr="004879F6" w:rsidRDefault="00271556" w:rsidP="00271556">
            <w:pPr>
              <w:numPr>
                <w:ilvl w:val="0"/>
                <w:numId w:val="10"/>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Führung und Moderation im Rahmen von Teamsitzungen eines multiprofessionellen, interdisziplinären neurogeriatrischen Teams</w:t>
            </w:r>
          </w:p>
        </w:tc>
      </w:tr>
      <w:tr w:rsidR="00271556" w:rsidRPr="004879F6" w:rsidTr="00BE4DBF">
        <w:tc>
          <w:tcPr>
            <w:tcW w:w="9356" w:type="dxa"/>
            <w:shd w:val="clear" w:color="auto" w:fill="auto"/>
            <w:tcMar>
              <w:top w:w="57" w:type="dxa"/>
              <w:left w:w="284" w:type="dxa"/>
              <w:bottom w:w="57" w:type="dxa"/>
            </w:tcMar>
          </w:tcPr>
          <w:p w:rsidR="00271556" w:rsidRPr="004879F6" w:rsidRDefault="00271556" w:rsidP="00271556">
            <w:pPr>
              <w:numPr>
                <w:ilvl w:val="0"/>
                <w:numId w:val="10"/>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hAnsi="Times New Roman" w:cs="Times New Roman"/>
                <w:sz w:val="20"/>
                <w:lang w:eastAsia="de-AT"/>
              </w:rPr>
              <w:t xml:space="preserve">Organisation und Dokumentation der Kooperation zwischen allen beteiligten Institutionen und Strukturen in der Betreuung neurogeriatrischer </w:t>
            </w:r>
            <w:r w:rsidRPr="004879F6">
              <w:rPr>
                <w:rFonts w:ascii="Times New Roman" w:hAnsi="Times New Roman" w:cs="Times New Roman"/>
                <w:sz w:val="20"/>
              </w:rPr>
              <w:t>Patienti</w:t>
            </w:r>
            <w:r w:rsidRPr="004879F6">
              <w:rPr>
                <w:rFonts w:ascii="Times New Roman" w:hAnsi="Times New Roman" w:cs="Times New Roman"/>
                <w:sz w:val="20"/>
                <w:szCs w:val="20"/>
              </w:rPr>
              <w:t>nn</w:t>
            </w:r>
            <w:r w:rsidRPr="004879F6">
              <w:rPr>
                <w:rFonts w:ascii="Times New Roman" w:hAnsi="Times New Roman" w:cs="Times New Roman"/>
                <w:sz w:val="20"/>
              </w:rPr>
              <w:t>en und Patienten</w:t>
            </w:r>
          </w:p>
        </w:tc>
      </w:tr>
      <w:tr w:rsidR="00271556" w:rsidRPr="004879F6" w:rsidTr="00BE4DBF">
        <w:tc>
          <w:tcPr>
            <w:tcW w:w="9356" w:type="dxa"/>
            <w:shd w:val="clear" w:color="auto" w:fill="auto"/>
            <w:tcMar>
              <w:top w:w="57" w:type="dxa"/>
              <w:left w:w="284" w:type="dxa"/>
              <w:bottom w:w="57" w:type="dxa"/>
            </w:tcMar>
          </w:tcPr>
          <w:p w:rsidR="00271556" w:rsidRPr="004879F6" w:rsidRDefault="00271556" w:rsidP="00271556">
            <w:pPr>
              <w:numPr>
                <w:ilvl w:val="0"/>
                <w:numId w:val="10"/>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Ethische und rechtliche Fragestellungen der Neurogeriatrie, insbesondere Fragen der Versorgung (Versorgungsverfügungen), Sachwalterschaft und Lebensverlängerung, Kommunikation mit den Angehörigen und anderen Betreuerinnen und Betreuern, in deren Funktion als Vorsorgebevollmächtigte oder gesetzliche Vertreterinnen und Vertretern (Angehörigenarbeit), rechtliche Grundlagen bezüglich freiheitseinschränkender Maßnahmen, Unterbringungsgesetz</w:t>
            </w:r>
          </w:p>
        </w:tc>
      </w:tr>
    </w:tbl>
    <w:p w:rsidR="00271556" w:rsidRPr="004879F6" w:rsidRDefault="00271556" w:rsidP="00271556">
      <w:pPr>
        <w:spacing w:after="0" w:line="240" w:lineRule="auto"/>
        <w:rPr>
          <w:rFonts w:ascii="Times New Roman" w:hAnsi="Times New Roman" w:cs="Times New Roman"/>
          <w:sz w:val="20"/>
          <w:szCs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2"/>
        <w:gridCol w:w="1444"/>
      </w:tblGrid>
      <w:tr w:rsidR="00271556" w:rsidRPr="004879F6" w:rsidTr="00BE4DBF">
        <w:tc>
          <w:tcPr>
            <w:tcW w:w="8082" w:type="dxa"/>
            <w:shd w:val="clear" w:color="auto" w:fill="auto"/>
            <w:tcMar>
              <w:top w:w="57" w:type="dxa"/>
              <w:left w:w="284" w:type="dxa"/>
              <w:bottom w:w="57" w:type="dxa"/>
            </w:tcMar>
          </w:tcPr>
          <w:p w:rsidR="00271556" w:rsidRPr="004879F6" w:rsidRDefault="00271556" w:rsidP="00BE4DBF">
            <w:pPr>
              <w:tabs>
                <w:tab w:val="left" w:pos="425"/>
              </w:tabs>
              <w:spacing w:after="0"/>
              <w:rPr>
                <w:rFonts w:ascii="Times New Roman" w:hAnsi="Times New Roman" w:cs="Times New Roman"/>
                <w:b/>
                <w:sz w:val="20"/>
              </w:rPr>
            </w:pPr>
            <w:r w:rsidRPr="004879F6">
              <w:rPr>
                <w:rFonts w:ascii="Times New Roman" w:hAnsi="Times New Roman" w:cs="Times New Roman"/>
                <w:b/>
                <w:sz w:val="20"/>
              </w:rPr>
              <w:t>C)</w:t>
            </w:r>
            <w:r w:rsidRPr="004879F6">
              <w:rPr>
                <w:rFonts w:ascii="Times New Roman" w:hAnsi="Times New Roman" w:cs="Times New Roman"/>
                <w:b/>
                <w:sz w:val="20"/>
              </w:rPr>
              <w:tab/>
              <w:t>Fertigkeiten</w:t>
            </w:r>
          </w:p>
        </w:tc>
        <w:tc>
          <w:tcPr>
            <w:tcW w:w="1444"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b/>
                <w:sz w:val="20"/>
              </w:rPr>
            </w:pPr>
            <w:r w:rsidRPr="004879F6">
              <w:rPr>
                <w:rFonts w:ascii="Times New Roman" w:hAnsi="Times New Roman" w:cs="Times New Roman"/>
                <w:b/>
                <w:sz w:val="20"/>
              </w:rPr>
              <w:t>Richtzahl</w:t>
            </w:r>
          </w:p>
        </w:tc>
      </w:tr>
      <w:tr w:rsidR="00271556" w:rsidRPr="004879F6" w:rsidTr="00BE4DBF">
        <w:tc>
          <w:tcPr>
            <w:tcW w:w="8082" w:type="dxa"/>
            <w:shd w:val="clear" w:color="auto" w:fill="auto"/>
            <w:tcMar>
              <w:top w:w="57" w:type="dxa"/>
              <w:left w:w="284" w:type="dxa"/>
              <w:bottom w:w="57" w:type="dxa"/>
            </w:tcMar>
          </w:tcPr>
          <w:p w:rsidR="00271556" w:rsidRPr="004879F6" w:rsidRDefault="00271556" w:rsidP="00271556">
            <w:pPr>
              <w:numPr>
                <w:ilvl w:val="0"/>
                <w:numId w:val="11"/>
              </w:numPr>
              <w:spacing w:after="0" w:line="240" w:lineRule="auto"/>
              <w:ind w:left="425" w:hanging="425"/>
              <w:rPr>
                <w:rFonts w:ascii="Times New Roman" w:hAnsi="Times New Roman" w:cs="Times New Roman"/>
                <w:sz w:val="20"/>
                <w:szCs w:val="20"/>
              </w:rPr>
            </w:pPr>
            <w:r w:rsidRPr="004879F6">
              <w:rPr>
                <w:rFonts w:ascii="Times New Roman" w:eastAsia="Times New Roman" w:hAnsi="Times New Roman" w:cs="Times New Roman"/>
                <w:sz w:val="20"/>
                <w:szCs w:val="20"/>
                <w:lang w:eastAsia="de-AT"/>
              </w:rPr>
              <w:t>Neurologische</w:t>
            </w:r>
            <w:r w:rsidRPr="004879F6">
              <w:rPr>
                <w:rFonts w:ascii="Times New Roman" w:hAnsi="Times New Roman" w:cs="Times New Roman"/>
                <w:sz w:val="20"/>
                <w:szCs w:val="20"/>
              </w:rPr>
              <w:t xml:space="preserve"> Untersuchung von </w:t>
            </w:r>
            <w:r w:rsidRPr="004879F6">
              <w:rPr>
                <w:rFonts w:ascii="Times New Roman" w:hAnsi="Times New Roman" w:cs="Times New Roman"/>
                <w:sz w:val="20"/>
              </w:rPr>
              <w:t>Patienti</w:t>
            </w:r>
            <w:r w:rsidRPr="004879F6">
              <w:rPr>
                <w:rFonts w:ascii="Times New Roman" w:hAnsi="Times New Roman" w:cs="Times New Roman"/>
                <w:sz w:val="20"/>
                <w:szCs w:val="20"/>
              </w:rPr>
              <w:t>nn</w:t>
            </w:r>
            <w:r w:rsidRPr="004879F6">
              <w:rPr>
                <w:rFonts w:ascii="Times New Roman" w:hAnsi="Times New Roman" w:cs="Times New Roman"/>
                <w:sz w:val="20"/>
              </w:rPr>
              <w:t>en und Patienten</w:t>
            </w:r>
            <w:r w:rsidRPr="004879F6">
              <w:rPr>
                <w:rFonts w:ascii="Times New Roman" w:hAnsi="Times New Roman" w:cs="Times New Roman"/>
                <w:sz w:val="20"/>
                <w:szCs w:val="20"/>
              </w:rPr>
              <w:t xml:space="preserve"> mit neurogeriatrischen Erkrankungen wie z.B.: </w:t>
            </w:r>
          </w:p>
        </w:tc>
        <w:tc>
          <w:tcPr>
            <w:tcW w:w="1444"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trike/>
                <w:sz w:val="20"/>
              </w:rPr>
            </w:pPr>
            <w:r w:rsidRPr="004879F6">
              <w:rPr>
                <w:rFonts w:ascii="Times New Roman" w:hAnsi="Times New Roman" w:cs="Times New Roman"/>
                <w:sz w:val="20"/>
              </w:rPr>
              <w:t>100</w:t>
            </w:r>
          </w:p>
        </w:tc>
      </w:tr>
      <w:tr w:rsidR="00271556" w:rsidRPr="004879F6" w:rsidTr="00BE4DBF">
        <w:tc>
          <w:tcPr>
            <w:tcW w:w="8082" w:type="dxa"/>
            <w:shd w:val="clear" w:color="auto" w:fill="auto"/>
            <w:tcMar>
              <w:top w:w="57" w:type="dxa"/>
              <w:left w:w="284" w:type="dxa"/>
              <w:bottom w:w="57" w:type="dxa"/>
            </w:tcMar>
          </w:tcPr>
          <w:p w:rsidR="00271556" w:rsidRPr="004879F6" w:rsidRDefault="00271556" w:rsidP="00271556">
            <w:pPr>
              <w:numPr>
                <w:ilvl w:val="0"/>
                <w:numId w:val="23"/>
              </w:numPr>
              <w:spacing w:after="0" w:line="240" w:lineRule="auto"/>
              <w:ind w:left="851"/>
              <w:contextualSpacing/>
              <w:rPr>
                <w:rFonts w:ascii="Times New Roman" w:hAnsi="Times New Roman" w:cs="Times New Roman"/>
                <w:sz w:val="20"/>
              </w:rPr>
            </w:pPr>
            <w:r w:rsidRPr="004879F6">
              <w:rPr>
                <w:rFonts w:ascii="Times New Roman" w:hAnsi="Times New Roman" w:cs="Times New Roman"/>
                <w:sz w:val="20"/>
              </w:rPr>
              <w:t>Parkinson- und Tremorsyndrome sowie andere altersassoziierte Bewegungsstörungen</w:t>
            </w:r>
          </w:p>
        </w:tc>
        <w:tc>
          <w:tcPr>
            <w:tcW w:w="1444"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p>
        </w:tc>
      </w:tr>
      <w:tr w:rsidR="00271556" w:rsidRPr="004879F6" w:rsidTr="00BE4DBF">
        <w:tc>
          <w:tcPr>
            <w:tcW w:w="8082" w:type="dxa"/>
            <w:shd w:val="clear" w:color="auto" w:fill="auto"/>
            <w:tcMar>
              <w:top w:w="57" w:type="dxa"/>
              <w:left w:w="284" w:type="dxa"/>
              <w:bottom w:w="57" w:type="dxa"/>
            </w:tcMar>
          </w:tcPr>
          <w:p w:rsidR="00271556" w:rsidRPr="004879F6" w:rsidRDefault="00271556" w:rsidP="00271556">
            <w:pPr>
              <w:numPr>
                <w:ilvl w:val="0"/>
                <w:numId w:val="23"/>
              </w:numPr>
              <w:spacing w:after="0" w:line="240" w:lineRule="auto"/>
              <w:ind w:left="851"/>
              <w:contextualSpacing/>
              <w:rPr>
                <w:rFonts w:ascii="Times New Roman" w:hAnsi="Times New Roman" w:cs="Times New Roman"/>
                <w:sz w:val="20"/>
                <w:lang w:eastAsia="de-AT"/>
              </w:rPr>
            </w:pPr>
            <w:r w:rsidRPr="004879F6">
              <w:rPr>
                <w:rFonts w:ascii="Times New Roman" w:hAnsi="Times New Roman" w:cs="Times New Roman"/>
                <w:sz w:val="20"/>
              </w:rPr>
              <w:t>Gang- und Gleichgewichtsstörungen im Alter</w:t>
            </w:r>
          </w:p>
        </w:tc>
        <w:tc>
          <w:tcPr>
            <w:tcW w:w="1444"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p>
        </w:tc>
      </w:tr>
      <w:tr w:rsidR="00271556" w:rsidRPr="004879F6" w:rsidTr="00BE4DBF">
        <w:tc>
          <w:tcPr>
            <w:tcW w:w="8082" w:type="dxa"/>
            <w:shd w:val="clear" w:color="auto" w:fill="auto"/>
            <w:tcMar>
              <w:top w:w="57" w:type="dxa"/>
              <w:left w:w="284" w:type="dxa"/>
              <w:bottom w:w="57" w:type="dxa"/>
            </w:tcMar>
          </w:tcPr>
          <w:p w:rsidR="00271556" w:rsidRPr="004879F6" w:rsidRDefault="00271556" w:rsidP="00271556">
            <w:pPr>
              <w:numPr>
                <w:ilvl w:val="0"/>
                <w:numId w:val="23"/>
              </w:numPr>
              <w:spacing w:after="0" w:line="240" w:lineRule="auto"/>
              <w:ind w:left="851"/>
              <w:contextualSpacing/>
              <w:rPr>
                <w:rFonts w:ascii="Times New Roman" w:hAnsi="Times New Roman" w:cs="Times New Roman"/>
                <w:sz w:val="20"/>
                <w:lang w:eastAsia="de-AT"/>
              </w:rPr>
            </w:pPr>
            <w:r w:rsidRPr="004879F6">
              <w:rPr>
                <w:rFonts w:ascii="Times New Roman" w:hAnsi="Times New Roman" w:cs="Times New Roman"/>
                <w:sz w:val="20"/>
              </w:rPr>
              <w:t>Schwindelsyndrome des alten Menschen</w:t>
            </w:r>
          </w:p>
        </w:tc>
        <w:tc>
          <w:tcPr>
            <w:tcW w:w="1444"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p>
        </w:tc>
      </w:tr>
      <w:tr w:rsidR="00271556" w:rsidRPr="004879F6" w:rsidTr="00BE4DBF">
        <w:tc>
          <w:tcPr>
            <w:tcW w:w="8082" w:type="dxa"/>
            <w:shd w:val="clear" w:color="auto" w:fill="auto"/>
            <w:tcMar>
              <w:top w:w="57" w:type="dxa"/>
              <w:left w:w="284" w:type="dxa"/>
              <w:bottom w:w="57" w:type="dxa"/>
            </w:tcMar>
          </w:tcPr>
          <w:p w:rsidR="00271556" w:rsidRPr="004879F6" w:rsidRDefault="00271556" w:rsidP="00271556">
            <w:pPr>
              <w:numPr>
                <w:ilvl w:val="0"/>
                <w:numId w:val="23"/>
              </w:numPr>
              <w:spacing w:after="0" w:line="240" w:lineRule="auto"/>
              <w:ind w:left="851"/>
              <w:contextualSpacing/>
              <w:rPr>
                <w:rFonts w:ascii="Times New Roman" w:hAnsi="Times New Roman" w:cs="Times New Roman"/>
                <w:sz w:val="20"/>
                <w:lang w:eastAsia="de-AT"/>
              </w:rPr>
            </w:pPr>
            <w:r w:rsidRPr="004879F6">
              <w:rPr>
                <w:rFonts w:ascii="Times New Roman" w:hAnsi="Times New Roman" w:cs="Times New Roman"/>
                <w:sz w:val="20"/>
              </w:rPr>
              <w:t>Epilepsien beim alten Menschen</w:t>
            </w:r>
          </w:p>
        </w:tc>
        <w:tc>
          <w:tcPr>
            <w:tcW w:w="1444"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p>
        </w:tc>
      </w:tr>
      <w:tr w:rsidR="00271556" w:rsidRPr="004879F6" w:rsidTr="00BE4DBF">
        <w:tc>
          <w:tcPr>
            <w:tcW w:w="8082" w:type="dxa"/>
            <w:shd w:val="clear" w:color="auto" w:fill="auto"/>
            <w:tcMar>
              <w:top w:w="57" w:type="dxa"/>
              <w:left w:w="284" w:type="dxa"/>
              <w:bottom w:w="57" w:type="dxa"/>
            </w:tcMar>
          </w:tcPr>
          <w:p w:rsidR="00271556" w:rsidRPr="004879F6" w:rsidRDefault="00271556" w:rsidP="00271556">
            <w:pPr>
              <w:numPr>
                <w:ilvl w:val="0"/>
                <w:numId w:val="23"/>
              </w:numPr>
              <w:spacing w:after="0" w:line="240" w:lineRule="auto"/>
              <w:ind w:left="851"/>
              <w:contextualSpacing/>
              <w:rPr>
                <w:rFonts w:ascii="Times New Roman" w:hAnsi="Times New Roman" w:cs="Times New Roman"/>
                <w:sz w:val="20"/>
                <w:lang w:eastAsia="de-AT"/>
              </w:rPr>
            </w:pPr>
            <w:r w:rsidRPr="004879F6">
              <w:rPr>
                <w:rFonts w:ascii="Times New Roman" w:hAnsi="Times New Roman" w:cs="Times New Roman"/>
                <w:sz w:val="20"/>
              </w:rPr>
              <w:lastRenderedPageBreak/>
              <w:t>Erkrankungen des peripheren Nervensystems und der Muskulatur mit Beeinträchtigung der Mobilität</w:t>
            </w:r>
          </w:p>
        </w:tc>
        <w:tc>
          <w:tcPr>
            <w:tcW w:w="1444"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p>
        </w:tc>
      </w:tr>
      <w:tr w:rsidR="00271556" w:rsidRPr="004879F6" w:rsidTr="00BE4DBF">
        <w:tc>
          <w:tcPr>
            <w:tcW w:w="8082" w:type="dxa"/>
            <w:shd w:val="clear" w:color="auto" w:fill="auto"/>
            <w:tcMar>
              <w:top w:w="57" w:type="dxa"/>
              <w:left w:w="284" w:type="dxa"/>
              <w:bottom w:w="57" w:type="dxa"/>
            </w:tcMar>
          </w:tcPr>
          <w:p w:rsidR="00271556" w:rsidRPr="004879F6" w:rsidRDefault="00271556" w:rsidP="00271556">
            <w:pPr>
              <w:numPr>
                <w:ilvl w:val="0"/>
                <w:numId w:val="23"/>
              </w:numPr>
              <w:spacing w:after="0" w:line="240" w:lineRule="auto"/>
              <w:ind w:left="851"/>
              <w:contextualSpacing/>
              <w:rPr>
                <w:rFonts w:ascii="Times New Roman" w:hAnsi="Times New Roman" w:cs="Times New Roman"/>
                <w:sz w:val="20"/>
                <w:lang w:eastAsia="de-AT"/>
              </w:rPr>
            </w:pPr>
            <w:r w:rsidRPr="004879F6">
              <w:rPr>
                <w:rFonts w:ascii="Times New Roman" w:hAnsi="Times New Roman" w:cs="Times New Roman"/>
                <w:sz w:val="20"/>
              </w:rPr>
              <w:t>medikamentös induzierte neurologische Störungen beim alten Menschen</w:t>
            </w:r>
          </w:p>
        </w:tc>
        <w:tc>
          <w:tcPr>
            <w:tcW w:w="1444"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p>
        </w:tc>
      </w:tr>
      <w:tr w:rsidR="00271556" w:rsidRPr="004879F6" w:rsidTr="00BE4DBF">
        <w:tc>
          <w:tcPr>
            <w:tcW w:w="8082" w:type="dxa"/>
            <w:shd w:val="clear" w:color="auto" w:fill="auto"/>
            <w:tcMar>
              <w:top w:w="57" w:type="dxa"/>
              <w:left w:w="284" w:type="dxa"/>
              <w:bottom w:w="57" w:type="dxa"/>
            </w:tcMar>
          </w:tcPr>
          <w:p w:rsidR="00271556" w:rsidRPr="004879F6" w:rsidRDefault="00271556" w:rsidP="00271556">
            <w:pPr>
              <w:numPr>
                <w:ilvl w:val="0"/>
                <w:numId w:val="23"/>
              </w:numPr>
              <w:spacing w:after="0" w:line="240" w:lineRule="auto"/>
              <w:ind w:left="851"/>
              <w:contextualSpacing/>
              <w:rPr>
                <w:rFonts w:ascii="Times New Roman" w:hAnsi="Times New Roman" w:cs="Times New Roman"/>
                <w:sz w:val="20"/>
              </w:rPr>
            </w:pPr>
            <w:r w:rsidRPr="004879F6">
              <w:rPr>
                <w:rFonts w:ascii="Times New Roman" w:hAnsi="Times New Roman" w:cs="Times New Roman"/>
                <w:sz w:val="20"/>
              </w:rPr>
              <w:t>Zerebrovaskuläre Erkrankungen</w:t>
            </w:r>
          </w:p>
        </w:tc>
        <w:tc>
          <w:tcPr>
            <w:tcW w:w="1444"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p>
        </w:tc>
      </w:tr>
      <w:tr w:rsidR="00271556" w:rsidRPr="004879F6" w:rsidTr="00BE4DBF">
        <w:tc>
          <w:tcPr>
            <w:tcW w:w="8082" w:type="dxa"/>
            <w:shd w:val="clear" w:color="auto" w:fill="auto"/>
            <w:tcMar>
              <w:top w:w="57" w:type="dxa"/>
              <w:left w:w="284" w:type="dxa"/>
              <w:bottom w:w="57" w:type="dxa"/>
            </w:tcMar>
          </w:tcPr>
          <w:p w:rsidR="00271556" w:rsidRPr="004879F6" w:rsidRDefault="00271556" w:rsidP="00271556">
            <w:pPr>
              <w:numPr>
                <w:ilvl w:val="0"/>
                <w:numId w:val="23"/>
              </w:numPr>
              <w:spacing w:after="0" w:line="240" w:lineRule="auto"/>
              <w:ind w:left="851"/>
              <w:contextualSpacing/>
              <w:rPr>
                <w:rFonts w:ascii="Times New Roman" w:hAnsi="Times New Roman" w:cs="Times New Roman"/>
                <w:sz w:val="20"/>
              </w:rPr>
            </w:pPr>
            <w:r w:rsidRPr="004879F6">
              <w:rPr>
                <w:rFonts w:ascii="Times New Roman" w:hAnsi="Times New Roman" w:cs="Times New Roman"/>
                <w:sz w:val="20"/>
              </w:rPr>
              <w:t>Degenerative Demenzen</w:t>
            </w:r>
          </w:p>
        </w:tc>
        <w:tc>
          <w:tcPr>
            <w:tcW w:w="1444"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p>
        </w:tc>
      </w:tr>
      <w:tr w:rsidR="00271556" w:rsidRPr="004879F6" w:rsidTr="00BE4DBF">
        <w:tc>
          <w:tcPr>
            <w:tcW w:w="8082" w:type="dxa"/>
            <w:shd w:val="clear" w:color="auto" w:fill="auto"/>
            <w:tcMar>
              <w:top w:w="57" w:type="dxa"/>
              <w:left w:w="284" w:type="dxa"/>
              <w:bottom w:w="57" w:type="dxa"/>
            </w:tcMar>
          </w:tcPr>
          <w:p w:rsidR="00271556" w:rsidRPr="004879F6" w:rsidRDefault="00271556" w:rsidP="00271556">
            <w:pPr>
              <w:numPr>
                <w:ilvl w:val="0"/>
                <w:numId w:val="11"/>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Anwendung von Skalen zur Erfassung kognitiver Defizite und Verhaltensauffälligkeiten, Depression, Schlafstörung und Tagesmüdigkeit, Apathie, Bewegungsstörungen und Mobilitätseinschränkung, Alltagskompetenz und Pflegebedürftigkeit</w:t>
            </w:r>
          </w:p>
        </w:tc>
        <w:tc>
          <w:tcPr>
            <w:tcW w:w="1444"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p>
        </w:tc>
      </w:tr>
      <w:tr w:rsidR="00271556" w:rsidRPr="004879F6" w:rsidTr="00BE4DBF">
        <w:tc>
          <w:tcPr>
            <w:tcW w:w="8082" w:type="dxa"/>
            <w:shd w:val="clear" w:color="auto" w:fill="auto"/>
            <w:tcMar>
              <w:top w:w="57" w:type="dxa"/>
              <w:left w:w="284" w:type="dxa"/>
              <w:bottom w:w="57" w:type="dxa"/>
            </w:tcMar>
          </w:tcPr>
          <w:p w:rsidR="00271556" w:rsidRPr="004879F6" w:rsidRDefault="00271556" w:rsidP="00271556">
            <w:pPr>
              <w:numPr>
                <w:ilvl w:val="0"/>
                <w:numId w:val="11"/>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Diagnostik und Therapie von neurogeriatrischen Erkrankungen:</w:t>
            </w:r>
          </w:p>
        </w:tc>
        <w:tc>
          <w:tcPr>
            <w:tcW w:w="1444"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p>
        </w:tc>
      </w:tr>
      <w:tr w:rsidR="00271556" w:rsidRPr="004879F6" w:rsidTr="00BE4DBF">
        <w:tc>
          <w:tcPr>
            <w:tcW w:w="8082" w:type="dxa"/>
            <w:shd w:val="clear" w:color="auto" w:fill="auto"/>
            <w:tcMar>
              <w:top w:w="57" w:type="dxa"/>
              <w:left w:w="284" w:type="dxa"/>
              <w:bottom w:w="57" w:type="dxa"/>
            </w:tcMar>
          </w:tcPr>
          <w:p w:rsidR="00271556" w:rsidRPr="004879F6" w:rsidRDefault="00271556" w:rsidP="00271556">
            <w:pPr>
              <w:numPr>
                <w:ilvl w:val="0"/>
                <w:numId w:val="24"/>
              </w:numPr>
              <w:spacing w:after="0" w:line="240" w:lineRule="auto"/>
              <w:ind w:left="851"/>
              <w:contextualSpacing/>
              <w:rPr>
                <w:rFonts w:ascii="Times New Roman" w:hAnsi="Times New Roman" w:cs="Times New Roman"/>
                <w:sz w:val="20"/>
              </w:rPr>
            </w:pPr>
            <w:r w:rsidRPr="004879F6">
              <w:rPr>
                <w:rFonts w:ascii="Times New Roman" w:hAnsi="Times New Roman" w:cs="Times New Roman"/>
                <w:sz w:val="20"/>
              </w:rPr>
              <w:t>fachspezifische Interpretation der von Radiologinnen und Radiologen und Nuklearmedizinerinnen und Nuklearmedizinern erhobenen Bilder und Befunde</w:t>
            </w:r>
          </w:p>
        </w:tc>
        <w:tc>
          <w:tcPr>
            <w:tcW w:w="1444"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p>
        </w:tc>
      </w:tr>
      <w:tr w:rsidR="00271556" w:rsidRPr="004879F6" w:rsidTr="00BE4DBF">
        <w:tc>
          <w:tcPr>
            <w:tcW w:w="8082" w:type="dxa"/>
            <w:shd w:val="clear" w:color="auto" w:fill="auto"/>
            <w:tcMar>
              <w:top w:w="57" w:type="dxa"/>
              <w:left w:w="284" w:type="dxa"/>
              <w:bottom w:w="57" w:type="dxa"/>
            </w:tcMar>
          </w:tcPr>
          <w:p w:rsidR="00271556" w:rsidRPr="004879F6" w:rsidRDefault="00271556" w:rsidP="00271556">
            <w:pPr>
              <w:numPr>
                <w:ilvl w:val="0"/>
                <w:numId w:val="24"/>
              </w:numPr>
              <w:spacing w:after="0" w:line="240" w:lineRule="auto"/>
              <w:ind w:left="851"/>
              <w:contextualSpacing/>
              <w:rPr>
                <w:rFonts w:ascii="Times New Roman" w:hAnsi="Times New Roman" w:cs="Times New Roman"/>
                <w:sz w:val="20"/>
              </w:rPr>
            </w:pPr>
            <w:r w:rsidRPr="004879F6">
              <w:rPr>
                <w:rFonts w:ascii="Times New Roman" w:hAnsi="Times New Roman" w:cs="Times New Roman"/>
                <w:sz w:val="20"/>
              </w:rPr>
              <w:t>Beurteilung neuropsychologischer Testergebnisse und neuropsychiatrischer Evaluierungen</w:t>
            </w:r>
          </w:p>
        </w:tc>
        <w:tc>
          <w:tcPr>
            <w:tcW w:w="1444"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p>
        </w:tc>
      </w:tr>
      <w:tr w:rsidR="00271556" w:rsidRPr="004879F6" w:rsidTr="00BE4DBF">
        <w:tc>
          <w:tcPr>
            <w:tcW w:w="8082" w:type="dxa"/>
            <w:shd w:val="clear" w:color="auto" w:fill="auto"/>
            <w:tcMar>
              <w:top w:w="57" w:type="dxa"/>
              <w:left w:w="284" w:type="dxa"/>
              <w:bottom w:w="57" w:type="dxa"/>
            </w:tcMar>
          </w:tcPr>
          <w:p w:rsidR="00271556" w:rsidRPr="004879F6" w:rsidRDefault="00271556" w:rsidP="00271556">
            <w:pPr>
              <w:numPr>
                <w:ilvl w:val="0"/>
                <w:numId w:val="11"/>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 xml:space="preserve">Pharmakotherapie im Alter: Pharmakologische Besonderheiten und Dosierungen von Arzneimitteln sowie Arzneimittelinteraktionen bei Mehrfachverordnungen bei älteren und/oder multimorbiden </w:t>
            </w:r>
            <w:r w:rsidRPr="004879F6">
              <w:rPr>
                <w:rFonts w:ascii="Times New Roman" w:hAnsi="Times New Roman" w:cs="Times New Roman"/>
                <w:sz w:val="20"/>
              </w:rPr>
              <w:t>Patienti</w:t>
            </w:r>
            <w:r w:rsidRPr="004879F6">
              <w:rPr>
                <w:rFonts w:ascii="Times New Roman" w:hAnsi="Times New Roman" w:cs="Times New Roman"/>
                <w:sz w:val="20"/>
                <w:szCs w:val="20"/>
              </w:rPr>
              <w:t>nn</w:t>
            </w:r>
            <w:r w:rsidRPr="004879F6">
              <w:rPr>
                <w:rFonts w:ascii="Times New Roman" w:hAnsi="Times New Roman" w:cs="Times New Roman"/>
                <w:sz w:val="20"/>
              </w:rPr>
              <w:t>en und Patienten</w:t>
            </w:r>
            <w:r w:rsidRPr="004879F6">
              <w:rPr>
                <w:rFonts w:ascii="Times New Roman" w:hAnsi="Times New Roman" w:cs="Times New Roman"/>
                <w:sz w:val="20"/>
                <w:szCs w:val="20"/>
              </w:rPr>
              <w:t>. Besondere Kompetenz in Pharmakokinetik und Pharmakodynamik unter Berücksichtigung von Polypharmazie und Interaktionen, Erfassung von Arzneimittelgebrauch und Medikationsadhärenz</w:t>
            </w:r>
          </w:p>
        </w:tc>
        <w:tc>
          <w:tcPr>
            <w:tcW w:w="1444"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p>
        </w:tc>
      </w:tr>
      <w:tr w:rsidR="00271556" w:rsidRPr="004879F6" w:rsidTr="00BE4DBF">
        <w:tc>
          <w:tcPr>
            <w:tcW w:w="8082" w:type="dxa"/>
            <w:shd w:val="clear" w:color="auto" w:fill="auto"/>
            <w:tcMar>
              <w:top w:w="57" w:type="dxa"/>
              <w:left w:w="284" w:type="dxa"/>
              <w:bottom w:w="57" w:type="dxa"/>
            </w:tcMar>
          </w:tcPr>
          <w:p w:rsidR="00271556" w:rsidRPr="004879F6" w:rsidRDefault="00271556" w:rsidP="00271556">
            <w:pPr>
              <w:numPr>
                <w:ilvl w:val="0"/>
                <w:numId w:val="11"/>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Indikation und Evaluierung neurorehabilitativer Maßnahmen</w:t>
            </w:r>
          </w:p>
        </w:tc>
        <w:tc>
          <w:tcPr>
            <w:tcW w:w="1444"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p>
        </w:tc>
      </w:tr>
      <w:tr w:rsidR="00271556" w:rsidRPr="004879F6" w:rsidTr="00BE4DBF">
        <w:tc>
          <w:tcPr>
            <w:tcW w:w="8082" w:type="dxa"/>
            <w:shd w:val="clear" w:color="auto" w:fill="auto"/>
            <w:tcMar>
              <w:top w:w="57" w:type="dxa"/>
              <w:left w:w="284" w:type="dxa"/>
              <w:bottom w:w="57" w:type="dxa"/>
            </w:tcMar>
          </w:tcPr>
          <w:p w:rsidR="00271556" w:rsidRPr="004879F6" w:rsidRDefault="00271556" w:rsidP="00271556">
            <w:pPr>
              <w:numPr>
                <w:ilvl w:val="0"/>
                <w:numId w:val="11"/>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 xml:space="preserve">Information und Kommunikation mit </w:t>
            </w:r>
            <w:r w:rsidRPr="004879F6">
              <w:rPr>
                <w:rFonts w:ascii="Times New Roman" w:hAnsi="Times New Roman" w:cs="Times New Roman"/>
                <w:sz w:val="20"/>
              </w:rPr>
              <w:t>Patienti</w:t>
            </w:r>
            <w:r w:rsidRPr="004879F6">
              <w:rPr>
                <w:rFonts w:ascii="Times New Roman" w:hAnsi="Times New Roman" w:cs="Times New Roman"/>
                <w:sz w:val="20"/>
                <w:szCs w:val="20"/>
              </w:rPr>
              <w:t>nn</w:t>
            </w:r>
            <w:r w:rsidRPr="004879F6">
              <w:rPr>
                <w:rFonts w:ascii="Times New Roman" w:hAnsi="Times New Roman" w:cs="Times New Roman"/>
                <w:sz w:val="20"/>
              </w:rPr>
              <w:t>en und Patienten</w:t>
            </w:r>
            <w:r w:rsidRPr="004879F6">
              <w:rPr>
                <w:rFonts w:ascii="Times New Roman" w:hAnsi="Times New Roman" w:cs="Times New Roman"/>
                <w:sz w:val="20"/>
                <w:szCs w:val="20"/>
              </w:rPr>
              <w:t xml:space="preserve"> und Angehörigen über Vorbereitung, Indikation, Durchführung und Risiken von Untersuchungen und Behandlungen unter Berücksichtigung der möglicherweise eingeschränkten kognitiven Fähigkeiten</w:t>
            </w:r>
          </w:p>
        </w:tc>
        <w:tc>
          <w:tcPr>
            <w:tcW w:w="1444"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p>
        </w:tc>
      </w:tr>
      <w:tr w:rsidR="00271556" w:rsidRPr="004879F6" w:rsidTr="00BE4DBF">
        <w:tc>
          <w:tcPr>
            <w:tcW w:w="8082" w:type="dxa"/>
            <w:shd w:val="clear" w:color="auto" w:fill="auto"/>
            <w:tcMar>
              <w:top w:w="57" w:type="dxa"/>
              <w:left w:w="284" w:type="dxa"/>
              <w:bottom w:w="57" w:type="dxa"/>
            </w:tcMar>
          </w:tcPr>
          <w:p w:rsidR="00271556" w:rsidRPr="004879F6" w:rsidRDefault="00271556" w:rsidP="00271556">
            <w:pPr>
              <w:numPr>
                <w:ilvl w:val="0"/>
                <w:numId w:val="11"/>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Notfallbehandlung in der Neurogeriatrie</w:t>
            </w:r>
          </w:p>
        </w:tc>
        <w:tc>
          <w:tcPr>
            <w:tcW w:w="1444"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p>
        </w:tc>
      </w:tr>
      <w:tr w:rsidR="00271556" w:rsidRPr="004879F6" w:rsidTr="00BE4DBF">
        <w:tc>
          <w:tcPr>
            <w:tcW w:w="8082" w:type="dxa"/>
            <w:shd w:val="clear" w:color="auto" w:fill="auto"/>
            <w:tcMar>
              <w:top w:w="57" w:type="dxa"/>
              <w:left w:w="284" w:type="dxa"/>
              <w:bottom w:w="57" w:type="dxa"/>
            </w:tcMar>
          </w:tcPr>
          <w:p w:rsidR="00271556" w:rsidRPr="004879F6" w:rsidRDefault="00271556" w:rsidP="00271556">
            <w:pPr>
              <w:numPr>
                <w:ilvl w:val="0"/>
                <w:numId w:val="11"/>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Palliativmedizinische Behandlungs- und Betreuungskonzepte</w:t>
            </w:r>
          </w:p>
        </w:tc>
        <w:tc>
          <w:tcPr>
            <w:tcW w:w="1444"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p>
        </w:tc>
      </w:tr>
      <w:tr w:rsidR="00271556" w:rsidRPr="004879F6" w:rsidTr="00BE4DBF">
        <w:tc>
          <w:tcPr>
            <w:tcW w:w="8082" w:type="dxa"/>
            <w:shd w:val="clear" w:color="auto" w:fill="auto"/>
            <w:tcMar>
              <w:top w:w="57" w:type="dxa"/>
              <w:left w:w="284" w:type="dxa"/>
              <w:bottom w:w="57" w:type="dxa"/>
            </w:tcMar>
          </w:tcPr>
          <w:p w:rsidR="00271556" w:rsidRPr="004879F6" w:rsidRDefault="00271556" w:rsidP="00271556">
            <w:pPr>
              <w:numPr>
                <w:ilvl w:val="0"/>
                <w:numId w:val="11"/>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 xml:space="preserve">Ernährungs- und Flüssigkeitstherapie bei neurogeriatrischen </w:t>
            </w:r>
            <w:r w:rsidRPr="004879F6">
              <w:rPr>
                <w:rFonts w:ascii="Times New Roman" w:hAnsi="Times New Roman" w:cs="Times New Roman"/>
                <w:sz w:val="20"/>
              </w:rPr>
              <w:t>Patienti</w:t>
            </w:r>
            <w:r w:rsidRPr="004879F6">
              <w:rPr>
                <w:rFonts w:ascii="Times New Roman" w:hAnsi="Times New Roman" w:cs="Times New Roman"/>
                <w:sz w:val="20"/>
                <w:szCs w:val="20"/>
              </w:rPr>
              <w:t>nn</w:t>
            </w:r>
            <w:r w:rsidRPr="004879F6">
              <w:rPr>
                <w:rFonts w:ascii="Times New Roman" w:hAnsi="Times New Roman" w:cs="Times New Roman"/>
                <w:sz w:val="20"/>
              </w:rPr>
              <w:t>en und Patienten</w:t>
            </w:r>
          </w:p>
        </w:tc>
        <w:tc>
          <w:tcPr>
            <w:tcW w:w="1444"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p>
        </w:tc>
      </w:tr>
      <w:tr w:rsidR="00271556" w:rsidRPr="004879F6" w:rsidTr="00BE4DBF">
        <w:tc>
          <w:tcPr>
            <w:tcW w:w="8082" w:type="dxa"/>
            <w:shd w:val="clear" w:color="auto" w:fill="auto"/>
            <w:tcMar>
              <w:top w:w="57" w:type="dxa"/>
              <w:left w:w="284" w:type="dxa"/>
              <w:bottom w:w="57" w:type="dxa"/>
            </w:tcMar>
          </w:tcPr>
          <w:p w:rsidR="00271556" w:rsidRPr="004879F6" w:rsidRDefault="00271556" w:rsidP="00271556">
            <w:pPr>
              <w:numPr>
                <w:ilvl w:val="0"/>
                <w:numId w:val="11"/>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 xml:space="preserve">Umgang mit Verhaltensauffälligkeiten bei </w:t>
            </w:r>
            <w:r w:rsidRPr="004879F6">
              <w:rPr>
                <w:rFonts w:ascii="Times New Roman" w:hAnsi="Times New Roman" w:cs="Times New Roman"/>
                <w:sz w:val="20"/>
              </w:rPr>
              <w:t>Patienti</w:t>
            </w:r>
            <w:r w:rsidRPr="004879F6">
              <w:rPr>
                <w:rFonts w:ascii="Times New Roman" w:hAnsi="Times New Roman" w:cs="Times New Roman"/>
                <w:sz w:val="20"/>
                <w:szCs w:val="20"/>
              </w:rPr>
              <w:t>nn</w:t>
            </w:r>
            <w:r w:rsidRPr="004879F6">
              <w:rPr>
                <w:rFonts w:ascii="Times New Roman" w:hAnsi="Times New Roman" w:cs="Times New Roman"/>
                <w:sz w:val="20"/>
              </w:rPr>
              <w:t xml:space="preserve">en und Patienten </w:t>
            </w:r>
            <w:r w:rsidRPr="004879F6">
              <w:rPr>
                <w:rFonts w:ascii="Times New Roman" w:hAnsi="Times New Roman" w:cs="Times New Roman"/>
                <w:sz w:val="20"/>
                <w:szCs w:val="20"/>
              </w:rPr>
              <w:t>mit Demenzen u.a. neurodegenerativen Syndromen</w:t>
            </w:r>
          </w:p>
        </w:tc>
        <w:tc>
          <w:tcPr>
            <w:tcW w:w="1444"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p>
        </w:tc>
      </w:tr>
      <w:tr w:rsidR="00271556" w:rsidRPr="004879F6" w:rsidTr="00BE4DBF">
        <w:tc>
          <w:tcPr>
            <w:tcW w:w="8082" w:type="dxa"/>
            <w:shd w:val="clear" w:color="auto" w:fill="auto"/>
            <w:tcMar>
              <w:top w:w="57" w:type="dxa"/>
              <w:left w:w="284" w:type="dxa"/>
              <w:bottom w:w="57" w:type="dxa"/>
            </w:tcMar>
          </w:tcPr>
          <w:p w:rsidR="00271556" w:rsidRPr="004879F6" w:rsidRDefault="00271556" w:rsidP="00271556">
            <w:pPr>
              <w:numPr>
                <w:ilvl w:val="0"/>
                <w:numId w:val="11"/>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Fachspezifischer Umgang mit akuter Verwirrtheit (Delir)</w:t>
            </w:r>
          </w:p>
        </w:tc>
        <w:tc>
          <w:tcPr>
            <w:tcW w:w="1444"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p>
        </w:tc>
      </w:tr>
      <w:tr w:rsidR="00271556" w:rsidRPr="004879F6" w:rsidTr="00BE4DBF">
        <w:tc>
          <w:tcPr>
            <w:tcW w:w="8082" w:type="dxa"/>
            <w:shd w:val="clear" w:color="auto" w:fill="auto"/>
            <w:tcMar>
              <w:top w:w="57" w:type="dxa"/>
              <w:left w:w="284" w:type="dxa"/>
              <w:bottom w:w="57" w:type="dxa"/>
            </w:tcMar>
          </w:tcPr>
          <w:p w:rsidR="00271556" w:rsidRPr="004879F6" w:rsidRDefault="00271556" w:rsidP="00271556">
            <w:pPr>
              <w:numPr>
                <w:ilvl w:val="0"/>
                <w:numId w:val="11"/>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 xml:space="preserve">Schmerztherapie bei neurogeriatrischen </w:t>
            </w:r>
            <w:r w:rsidRPr="004879F6">
              <w:rPr>
                <w:rFonts w:ascii="Times New Roman" w:hAnsi="Times New Roman" w:cs="Times New Roman"/>
                <w:sz w:val="20"/>
              </w:rPr>
              <w:t>Patienti</w:t>
            </w:r>
            <w:r w:rsidRPr="004879F6">
              <w:rPr>
                <w:rFonts w:ascii="Times New Roman" w:hAnsi="Times New Roman" w:cs="Times New Roman"/>
                <w:sz w:val="20"/>
                <w:szCs w:val="20"/>
              </w:rPr>
              <w:t>nn</w:t>
            </w:r>
            <w:r w:rsidRPr="004879F6">
              <w:rPr>
                <w:rFonts w:ascii="Times New Roman" w:hAnsi="Times New Roman" w:cs="Times New Roman"/>
                <w:sz w:val="20"/>
              </w:rPr>
              <w:t>en und Patienten</w:t>
            </w:r>
          </w:p>
        </w:tc>
        <w:tc>
          <w:tcPr>
            <w:tcW w:w="1444"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p>
        </w:tc>
      </w:tr>
      <w:tr w:rsidR="00271556" w:rsidRPr="004879F6" w:rsidTr="00BE4DBF">
        <w:tc>
          <w:tcPr>
            <w:tcW w:w="8082" w:type="dxa"/>
            <w:shd w:val="clear" w:color="auto" w:fill="auto"/>
            <w:tcMar>
              <w:top w:w="57" w:type="dxa"/>
              <w:left w:w="284" w:type="dxa"/>
              <w:bottom w:w="57" w:type="dxa"/>
            </w:tcMar>
          </w:tcPr>
          <w:p w:rsidR="00271556" w:rsidRPr="004879F6" w:rsidRDefault="00271556" w:rsidP="00271556">
            <w:pPr>
              <w:numPr>
                <w:ilvl w:val="0"/>
                <w:numId w:val="11"/>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 xml:space="preserve">Allfällig Durchführung der endoskopischen Schluckdiagnostik </w:t>
            </w:r>
          </w:p>
        </w:tc>
        <w:tc>
          <w:tcPr>
            <w:tcW w:w="1444"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r w:rsidRPr="004879F6">
              <w:rPr>
                <w:rFonts w:ascii="Times New Roman" w:hAnsi="Times New Roman" w:cs="Times New Roman"/>
                <w:sz w:val="20"/>
              </w:rPr>
              <w:t>10</w:t>
            </w:r>
          </w:p>
        </w:tc>
      </w:tr>
    </w:tbl>
    <w:p w:rsidR="00271556" w:rsidRPr="004879F6" w:rsidRDefault="00271556" w:rsidP="00271556">
      <w:pPr>
        <w:spacing w:after="0" w:line="240" w:lineRule="auto"/>
        <w:rPr>
          <w:rFonts w:ascii="Times New Roman" w:hAnsi="Times New Roman" w:cs="Times New Roman"/>
          <w:b/>
          <w:sz w:val="20"/>
          <w:szCs w:val="20"/>
        </w:rPr>
      </w:pPr>
    </w:p>
    <w:p w:rsidR="00271556" w:rsidRPr="004879F6" w:rsidRDefault="00271556" w:rsidP="00271556">
      <w:pPr>
        <w:spacing w:after="0"/>
        <w:jc w:val="center"/>
        <w:outlineLvl w:val="0"/>
        <w:rPr>
          <w:rFonts w:ascii="Times New Roman" w:hAnsi="Times New Roman" w:cs="Times New Roman"/>
          <w:b/>
          <w:sz w:val="20"/>
        </w:rPr>
      </w:pPr>
      <w:r w:rsidRPr="004879F6">
        <w:rPr>
          <w:rFonts w:ascii="Times New Roman" w:hAnsi="Times New Roman" w:cs="Times New Roman"/>
          <w:sz w:val="20"/>
          <w:szCs w:val="20"/>
        </w:rPr>
        <w:br w:type="page"/>
      </w:r>
      <w:r w:rsidRPr="004879F6">
        <w:rPr>
          <w:rFonts w:ascii="Times New Roman" w:hAnsi="Times New Roman" w:cs="Times New Roman"/>
          <w:b/>
          <w:sz w:val="20"/>
        </w:rPr>
        <w:lastRenderedPageBreak/>
        <w:t>Modul 4: Neuroonkologie</w:t>
      </w:r>
    </w:p>
    <w:p w:rsidR="00271556" w:rsidRPr="004879F6" w:rsidRDefault="00271556" w:rsidP="00271556">
      <w:pPr>
        <w:spacing w:after="0"/>
        <w:jc w:val="center"/>
        <w:rPr>
          <w:rFonts w:ascii="Times New Roman" w:hAnsi="Times New Roman" w:cs="Times New Roman"/>
          <w:b/>
          <w:sz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271556" w:rsidRPr="004879F6" w:rsidTr="00BE4DBF">
        <w:tc>
          <w:tcPr>
            <w:tcW w:w="9526" w:type="dxa"/>
            <w:shd w:val="clear" w:color="auto" w:fill="auto"/>
            <w:tcMar>
              <w:top w:w="57" w:type="dxa"/>
              <w:left w:w="284" w:type="dxa"/>
              <w:bottom w:w="57" w:type="dxa"/>
            </w:tcMar>
          </w:tcPr>
          <w:p w:rsidR="00271556" w:rsidRPr="004879F6" w:rsidRDefault="00271556" w:rsidP="00BE4DBF">
            <w:pPr>
              <w:tabs>
                <w:tab w:val="left" w:pos="425"/>
              </w:tabs>
              <w:spacing w:after="0"/>
              <w:rPr>
                <w:rFonts w:ascii="Times New Roman" w:hAnsi="Times New Roman" w:cs="Times New Roman"/>
                <w:b/>
                <w:sz w:val="20"/>
              </w:rPr>
            </w:pPr>
            <w:r w:rsidRPr="004879F6">
              <w:rPr>
                <w:rFonts w:ascii="Times New Roman" w:hAnsi="Times New Roman" w:cs="Times New Roman"/>
                <w:b/>
                <w:sz w:val="20"/>
              </w:rPr>
              <w:t>A)</w:t>
            </w:r>
            <w:r w:rsidRPr="004879F6">
              <w:rPr>
                <w:rFonts w:ascii="Times New Roman" w:hAnsi="Times New Roman" w:cs="Times New Roman"/>
                <w:b/>
                <w:sz w:val="20"/>
              </w:rPr>
              <w:tab/>
              <w:t>Kenntnisse</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2"/>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Primäre Hirntumore wie Gliome, primäres ZNS-Lymphom, Medulloblastom/Primitive ektodermale Tumore, Keimzelltumoren, Pinealistumoren, Meningeome, Neurinome, Hypophysentumoren und andere seltene Hirntumore</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2"/>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Sekundäre Tumore wie zerebrale Metastasen, Schädelbasistumore, extrazerebrale Tumore des Kopfes, Tumore der Halsweichteile mit Beteiligung nervöser Strukturen, Metastasierung im Bereich von Plexus und peripheren Nerven, neoplastische Meningitis, primäre und metastatische spinale Tumoren, neoplastische toxische und metabolische Auswirkungen auf die Wirbelsäule</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2"/>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Auswirkungen von Tumoren und Tumortherapien auf das zentrale und periphere Nervensystem, insbesondere in metabolischer, endokriner und infektiöser Hinsicht, paraneoplastische Syndrome bzw. Neurotoxizität onkologischer Therapien</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2"/>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Supportive und symptomatische Therapien</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2"/>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Neurorehabilitation in der Neuroonkologie</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2"/>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Neurodiagnostik: insbesondere Elektrophysiologie (NLG, EMG, EEG)</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2"/>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Liquoranalyse mit neuroonkologischem Fokus und Behandlungsplanung</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2"/>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Prinzipien und Indikationen der Radioonkologie</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2"/>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Neurologisch relevante Radiologie und Nuklearmedizin</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2"/>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Indikationsstellungen in der onkologischen Neurochirurgie</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2"/>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Grundlagen der allgemeinen Hämatoonkologie</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2"/>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Grundlagen der Neuropathologie</w:t>
            </w:r>
          </w:p>
        </w:tc>
      </w:tr>
    </w:tbl>
    <w:p w:rsidR="00271556" w:rsidRPr="004879F6" w:rsidRDefault="00271556" w:rsidP="00271556">
      <w:pPr>
        <w:spacing w:after="0" w:line="240" w:lineRule="auto"/>
        <w:rPr>
          <w:rFonts w:ascii="Times New Roman" w:hAnsi="Times New Roman" w:cs="Times"/>
          <w:sz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271556" w:rsidRPr="004879F6" w:rsidTr="00BE4DBF">
        <w:tc>
          <w:tcPr>
            <w:tcW w:w="9526" w:type="dxa"/>
            <w:shd w:val="clear" w:color="auto" w:fill="auto"/>
            <w:tcMar>
              <w:top w:w="57" w:type="dxa"/>
              <w:left w:w="284" w:type="dxa"/>
              <w:bottom w:w="57" w:type="dxa"/>
            </w:tcMar>
          </w:tcPr>
          <w:p w:rsidR="00271556" w:rsidRPr="004879F6" w:rsidRDefault="00271556" w:rsidP="00BE4DBF">
            <w:pPr>
              <w:tabs>
                <w:tab w:val="left" w:pos="425"/>
              </w:tabs>
              <w:spacing w:after="0"/>
              <w:rPr>
                <w:rFonts w:ascii="Times New Roman" w:hAnsi="Times New Roman" w:cs="Times New Roman"/>
                <w:b/>
                <w:sz w:val="20"/>
              </w:rPr>
            </w:pPr>
            <w:r w:rsidRPr="004879F6">
              <w:rPr>
                <w:rFonts w:ascii="Times New Roman" w:hAnsi="Times New Roman" w:cs="Times New Roman"/>
                <w:b/>
                <w:sz w:val="20"/>
              </w:rPr>
              <w:t>B)</w:t>
            </w:r>
            <w:r w:rsidRPr="004879F6">
              <w:rPr>
                <w:rFonts w:ascii="Times New Roman" w:hAnsi="Times New Roman" w:cs="Times New Roman"/>
                <w:b/>
                <w:sz w:val="20"/>
              </w:rPr>
              <w:tab/>
              <w:t>Erfahrungen</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3"/>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Teilnahme an interdisziplinären neuroonkologischen Tumorboards</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3"/>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Diagnostik und Befundinterpretation neuroonkologischer Erkrankungen</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3"/>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Erstellen von Therapiekonzepten im interdisziplinären und multiprofessionellen Kontext</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3"/>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 xml:space="preserve">Rehabilitation von </w:t>
            </w:r>
            <w:r w:rsidRPr="004879F6">
              <w:rPr>
                <w:rFonts w:ascii="Times New Roman" w:hAnsi="Times New Roman" w:cs="Times New Roman"/>
                <w:sz w:val="20"/>
              </w:rPr>
              <w:t>Patienti</w:t>
            </w:r>
            <w:r w:rsidRPr="004879F6">
              <w:rPr>
                <w:rFonts w:ascii="Times New Roman" w:hAnsi="Times New Roman" w:cs="Times New Roman"/>
                <w:sz w:val="20"/>
                <w:szCs w:val="20"/>
              </w:rPr>
              <w:t>nn</w:t>
            </w:r>
            <w:r w:rsidRPr="004879F6">
              <w:rPr>
                <w:rFonts w:ascii="Times New Roman" w:hAnsi="Times New Roman" w:cs="Times New Roman"/>
                <w:sz w:val="20"/>
              </w:rPr>
              <w:t>en und Patienten</w:t>
            </w:r>
            <w:r w:rsidRPr="004879F6">
              <w:rPr>
                <w:rFonts w:ascii="Times New Roman" w:hAnsi="Times New Roman" w:cs="Times New Roman"/>
                <w:sz w:val="20"/>
                <w:szCs w:val="20"/>
              </w:rPr>
              <w:t xml:space="preserve"> mit neuroonkologischen Erkrankungen im multiprofessionalem Team</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3"/>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 xml:space="preserve">Betreuung schwerkranker und palliativer </w:t>
            </w:r>
            <w:r w:rsidRPr="004879F6">
              <w:rPr>
                <w:rFonts w:ascii="Times New Roman" w:hAnsi="Times New Roman" w:cs="Times New Roman"/>
                <w:sz w:val="20"/>
              </w:rPr>
              <w:t>Patienti</w:t>
            </w:r>
            <w:r w:rsidRPr="004879F6">
              <w:rPr>
                <w:rFonts w:ascii="Times New Roman" w:hAnsi="Times New Roman" w:cs="Times New Roman"/>
                <w:sz w:val="20"/>
                <w:szCs w:val="20"/>
              </w:rPr>
              <w:t>nn</w:t>
            </w:r>
            <w:r w:rsidRPr="004879F6">
              <w:rPr>
                <w:rFonts w:ascii="Times New Roman" w:hAnsi="Times New Roman" w:cs="Times New Roman"/>
                <w:sz w:val="20"/>
              </w:rPr>
              <w:t xml:space="preserve">en und Patienten </w:t>
            </w:r>
            <w:r w:rsidRPr="004879F6">
              <w:rPr>
                <w:rFonts w:ascii="Times New Roman" w:hAnsi="Times New Roman" w:cs="Times New Roman"/>
                <w:sz w:val="20"/>
                <w:szCs w:val="20"/>
              </w:rPr>
              <w:t>im multiprofessionalem Team</w:t>
            </w:r>
          </w:p>
        </w:tc>
      </w:tr>
    </w:tbl>
    <w:p w:rsidR="00271556" w:rsidRPr="004879F6" w:rsidRDefault="00271556" w:rsidP="00271556">
      <w:pPr>
        <w:spacing w:after="0" w:line="240" w:lineRule="auto"/>
        <w:rPr>
          <w:rFonts w:ascii="Times New Roman" w:hAnsi="Times New Roman" w:cs="Times"/>
          <w:sz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2"/>
        <w:gridCol w:w="1444"/>
      </w:tblGrid>
      <w:tr w:rsidR="00271556" w:rsidRPr="004879F6" w:rsidTr="00BE4DBF">
        <w:tc>
          <w:tcPr>
            <w:tcW w:w="7938" w:type="dxa"/>
            <w:shd w:val="clear" w:color="auto" w:fill="auto"/>
            <w:tcMar>
              <w:top w:w="57" w:type="dxa"/>
              <w:left w:w="284" w:type="dxa"/>
              <w:bottom w:w="57" w:type="dxa"/>
            </w:tcMar>
          </w:tcPr>
          <w:p w:rsidR="00271556" w:rsidRPr="004879F6" w:rsidRDefault="00271556" w:rsidP="00BE4DBF">
            <w:pPr>
              <w:tabs>
                <w:tab w:val="left" w:pos="425"/>
              </w:tabs>
              <w:spacing w:after="0"/>
              <w:rPr>
                <w:rFonts w:ascii="Times New Roman" w:hAnsi="Times New Roman" w:cs="Times New Roman"/>
                <w:b/>
                <w:sz w:val="20"/>
              </w:rPr>
            </w:pPr>
            <w:r w:rsidRPr="004879F6">
              <w:rPr>
                <w:rFonts w:ascii="Times New Roman" w:hAnsi="Times New Roman" w:cs="Times New Roman"/>
                <w:b/>
                <w:sz w:val="20"/>
              </w:rPr>
              <w:t>C)</w:t>
            </w:r>
            <w:r w:rsidRPr="004879F6">
              <w:rPr>
                <w:rFonts w:ascii="Times New Roman" w:hAnsi="Times New Roman" w:cs="Times New Roman"/>
                <w:b/>
                <w:sz w:val="20"/>
              </w:rPr>
              <w:tab/>
              <w:t>Fertigkeiten</w:t>
            </w:r>
          </w:p>
        </w:tc>
        <w:tc>
          <w:tcPr>
            <w:tcW w:w="1418"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b/>
                <w:sz w:val="20"/>
              </w:rPr>
            </w:pPr>
            <w:r w:rsidRPr="004879F6">
              <w:rPr>
                <w:rFonts w:ascii="Times New Roman" w:hAnsi="Times New Roman" w:cs="Times New Roman"/>
                <w:b/>
                <w:sz w:val="20"/>
              </w:rPr>
              <w:t>Richtzahl</w:t>
            </w: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14"/>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Interpretation von klinisch neurologischen Zeichen und Symptomen in Zusammenschau mit multimodaler Zusatzdiagnostik in der Neuroonkologie und entsprechender Differentialdiagnostik</w:t>
            </w:r>
          </w:p>
        </w:tc>
        <w:tc>
          <w:tcPr>
            <w:tcW w:w="1418"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14"/>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Indikation und Interpretation verschiedener diagnostischer Methoden, Kooperation mit anderen medizinischen Fachdisziplinen, individuell und in Tumorboards</w:t>
            </w:r>
          </w:p>
        </w:tc>
        <w:tc>
          <w:tcPr>
            <w:tcW w:w="1418"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14"/>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Erstellen von therapeutischen Konzepten</w:t>
            </w:r>
          </w:p>
        </w:tc>
        <w:tc>
          <w:tcPr>
            <w:tcW w:w="1418"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14"/>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Fachspezifische zytostatische, immunologische sowie supportive Therapie bei Tumorerkrankungen des Nervensystems nach interdisziplinärer Indikationsstellung sowie Beherrschung auftretender Komplikationen</w:t>
            </w:r>
          </w:p>
        </w:tc>
        <w:tc>
          <w:tcPr>
            <w:tcW w:w="1418"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r w:rsidRPr="004879F6">
              <w:rPr>
                <w:rFonts w:ascii="Times New Roman" w:hAnsi="Times New Roman" w:cs="Times New Roman"/>
                <w:sz w:val="20"/>
              </w:rPr>
              <w:t>100</w:t>
            </w: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14"/>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 xml:space="preserve">Gesprächsführung, </w:t>
            </w:r>
            <w:r w:rsidRPr="004879F6">
              <w:rPr>
                <w:rFonts w:ascii="Times New Roman" w:hAnsi="Times New Roman" w:cs="Times New Roman"/>
                <w:sz w:val="20"/>
              </w:rPr>
              <w:t>Patienti</w:t>
            </w:r>
            <w:r w:rsidRPr="004879F6">
              <w:rPr>
                <w:rFonts w:ascii="Times New Roman" w:hAnsi="Times New Roman" w:cs="Times New Roman"/>
                <w:sz w:val="20"/>
                <w:szCs w:val="20"/>
              </w:rPr>
              <w:t>nn</w:t>
            </w:r>
            <w:r w:rsidRPr="004879F6">
              <w:rPr>
                <w:rFonts w:ascii="Times New Roman" w:hAnsi="Times New Roman" w:cs="Times New Roman"/>
                <w:sz w:val="20"/>
              </w:rPr>
              <w:t>en und Patienten</w:t>
            </w:r>
            <w:r w:rsidRPr="004879F6">
              <w:rPr>
                <w:rFonts w:ascii="Times New Roman" w:hAnsi="Times New Roman" w:cs="Times New Roman"/>
                <w:sz w:val="20"/>
                <w:szCs w:val="20"/>
              </w:rPr>
              <w:t>- und Angehörigenbegleitung, Zusammenarbeit mit Verwandten, Betreuerinnen und Betreuern, sozialen Diensten und Palliativeinheiten</w:t>
            </w:r>
          </w:p>
        </w:tc>
        <w:tc>
          <w:tcPr>
            <w:tcW w:w="1418" w:type="dxa"/>
            <w:shd w:val="clear" w:color="auto" w:fill="auto"/>
            <w:tcMar>
              <w:top w:w="57" w:type="dxa"/>
              <w:left w:w="284" w:type="dxa"/>
              <w:bottom w:w="57" w:type="dxa"/>
            </w:tcMar>
          </w:tcPr>
          <w:p w:rsidR="00271556" w:rsidRPr="004879F6" w:rsidRDefault="00271556" w:rsidP="00BE4DBF">
            <w:pPr>
              <w:spacing w:after="0"/>
              <w:jc w:val="center"/>
              <w:rPr>
                <w:rFonts w:ascii="Times New Roman" w:hAnsi="Times New Roman" w:cs="Times New Roman"/>
                <w:sz w:val="20"/>
              </w:rPr>
            </w:pPr>
          </w:p>
        </w:tc>
      </w:tr>
    </w:tbl>
    <w:p w:rsidR="00271556" w:rsidRPr="004879F6" w:rsidRDefault="00271556" w:rsidP="00271556">
      <w:pPr>
        <w:spacing w:after="0"/>
        <w:jc w:val="center"/>
        <w:outlineLvl w:val="0"/>
        <w:rPr>
          <w:rFonts w:ascii="Times New Roman" w:hAnsi="Times New Roman" w:cs="Times New Roman"/>
          <w:b/>
          <w:sz w:val="20"/>
          <w:lang w:val="en-US"/>
        </w:rPr>
      </w:pPr>
      <w:r w:rsidRPr="004879F6">
        <w:rPr>
          <w:rFonts w:ascii="Times New Roman" w:hAnsi="Times New Roman" w:cs="Times New Roman"/>
          <w:sz w:val="20"/>
          <w:szCs w:val="20"/>
        </w:rPr>
        <w:br w:type="page"/>
      </w:r>
      <w:r w:rsidRPr="004879F6">
        <w:rPr>
          <w:rFonts w:ascii="Times New Roman" w:hAnsi="Times New Roman" w:cs="Times New Roman"/>
          <w:b/>
          <w:sz w:val="20"/>
          <w:lang w:val="en-US"/>
        </w:rPr>
        <w:lastRenderedPageBreak/>
        <w:t>Modul 5: Notfall-, Intermediate Care und Intensivneurologie</w:t>
      </w:r>
    </w:p>
    <w:p w:rsidR="00271556" w:rsidRPr="004879F6" w:rsidRDefault="00271556" w:rsidP="00271556">
      <w:pPr>
        <w:spacing w:after="0"/>
        <w:jc w:val="center"/>
        <w:rPr>
          <w:rFonts w:ascii="Times New Roman" w:hAnsi="Times New Roman" w:cs="Times New Roman"/>
          <w:b/>
          <w:sz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271556" w:rsidRPr="004879F6" w:rsidTr="00BE4DBF">
        <w:tc>
          <w:tcPr>
            <w:tcW w:w="9526" w:type="dxa"/>
            <w:shd w:val="clear" w:color="auto" w:fill="auto"/>
            <w:tcMar>
              <w:top w:w="57" w:type="dxa"/>
              <w:left w:w="284" w:type="dxa"/>
              <w:bottom w:w="57" w:type="dxa"/>
            </w:tcMar>
          </w:tcPr>
          <w:p w:rsidR="00271556" w:rsidRPr="004879F6" w:rsidRDefault="00271556" w:rsidP="00BE4DBF">
            <w:pPr>
              <w:tabs>
                <w:tab w:val="left" w:pos="425"/>
              </w:tabs>
              <w:spacing w:after="0"/>
              <w:rPr>
                <w:rFonts w:ascii="Times New Roman" w:hAnsi="Times New Roman" w:cs="Times New Roman"/>
                <w:b/>
                <w:sz w:val="20"/>
              </w:rPr>
            </w:pPr>
            <w:r w:rsidRPr="004879F6">
              <w:rPr>
                <w:rFonts w:ascii="Times New Roman" w:hAnsi="Times New Roman" w:cs="Times New Roman"/>
                <w:b/>
                <w:sz w:val="20"/>
              </w:rPr>
              <w:t>A)</w:t>
            </w:r>
            <w:r w:rsidRPr="004879F6">
              <w:rPr>
                <w:rFonts w:ascii="Times New Roman" w:hAnsi="Times New Roman" w:cs="Times New Roman"/>
                <w:b/>
                <w:sz w:val="20"/>
              </w:rPr>
              <w:tab/>
              <w:t>Kenntnisse</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5"/>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Diagnostik und Therapie von neurologischen Notfällen wie akuter ischämischer Schlaganfall, aneurysmatische und nicht-aneurysmatische Subarachnoidalblutung, intrazerebrale Blutung, Schädelhirntrauma, akute eitrige Meningitis, akute virale Enzephalitis, Status epilepticus, Intoxikationen, Guillain-Barré-Syndrom, andere neuromuskuläre Erkrankungen, Stoffwechselerkrankungen des Gehirns und des peripheren Nervensystems, zerebrale Hypoxie, Sepsis und Sepsis-Enzephalopathie, Critical Illness, Neuromyopathie, Elektrolytstörungen, Querschnitts-Syndrom, qualitative und quantitative Bewusstseinsstörung etc.</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5"/>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Neurologische Notfalluntersuchung</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5"/>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Hirntoddiagnostik und Betreuung von Organspenderinnen und -spendern</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5"/>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Nachweis von nosokomialen Infektionskrankheiten des zentralen Nervensystems (ZNS)</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5"/>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Pharmakologie und Neurotoxizität von Pharmaka</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5"/>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Therapeutisches Management von neurologischen Notfall- und Intensivpatientinnen und -patienten</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5"/>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Schockgeschehen</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26"/>
              </w:numPr>
              <w:spacing w:after="0" w:line="240" w:lineRule="auto"/>
              <w:ind w:left="426" w:hanging="426"/>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Anatomie und Physiologie des Schluckaktes</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26"/>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Pathophysiologie Schluckstörungen</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26"/>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Ablauf der endoskopischen Schluckdiagnostik</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26"/>
              </w:numPr>
              <w:spacing w:after="0" w:line="240" w:lineRule="auto"/>
              <w:ind w:left="425" w:hanging="425"/>
              <w:rPr>
                <w:rFonts w:ascii="Times New Roman" w:eastAsia="Times New Roman" w:hAnsi="Times New Roman" w:cs="Times New Roman"/>
                <w:sz w:val="20"/>
                <w:szCs w:val="20"/>
                <w:lang w:eastAsia="de-AT"/>
              </w:rPr>
            </w:pPr>
            <w:r w:rsidRPr="004879F6">
              <w:rPr>
                <w:rFonts w:ascii="Times New Roman" w:eastAsia="Times New Roman" w:hAnsi="Times New Roman" w:cs="Times New Roman"/>
                <w:sz w:val="20"/>
                <w:szCs w:val="20"/>
                <w:lang w:eastAsia="de-AT"/>
              </w:rPr>
              <w:t>Komplikationen der endoskopischen Schluckdiagnostik</w:t>
            </w:r>
          </w:p>
        </w:tc>
      </w:tr>
    </w:tbl>
    <w:p w:rsidR="00271556" w:rsidRPr="004879F6" w:rsidRDefault="00271556" w:rsidP="00271556">
      <w:pPr>
        <w:spacing w:after="0" w:line="240" w:lineRule="auto"/>
        <w:rPr>
          <w:rFonts w:ascii="Times New Roman" w:hAnsi="Times New Roman" w:cs="Times"/>
          <w:sz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271556" w:rsidRPr="004879F6" w:rsidTr="00BE4DBF">
        <w:tc>
          <w:tcPr>
            <w:tcW w:w="9526" w:type="dxa"/>
            <w:shd w:val="clear" w:color="auto" w:fill="auto"/>
            <w:tcMar>
              <w:top w:w="57" w:type="dxa"/>
              <w:left w:w="284" w:type="dxa"/>
              <w:bottom w:w="57" w:type="dxa"/>
            </w:tcMar>
          </w:tcPr>
          <w:p w:rsidR="00271556" w:rsidRPr="004879F6" w:rsidRDefault="00271556" w:rsidP="00BE4DBF">
            <w:pPr>
              <w:tabs>
                <w:tab w:val="left" w:pos="425"/>
              </w:tabs>
              <w:spacing w:after="0"/>
              <w:rPr>
                <w:rFonts w:ascii="Times New Roman" w:hAnsi="Times New Roman" w:cs="Times New Roman"/>
                <w:b/>
                <w:sz w:val="20"/>
              </w:rPr>
            </w:pPr>
            <w:r w:rsidRPr="004879F6">
              <w:rPr>
                <w:rFonts w:ascii="Times New Roman" w:hAnsi="Times New Roman" w:cs="Times New Roman"/>
                <w:b/>
                <w:sz w:val="20"/>
              </w:rPr>
              <w:t>B)</w:t>
            </w:r>
            <w:r w:rsidRPr="004879F6">
              <w:rPr>
                <w:rFonts w:ascii="Times New Roman" w:hAnsi="Times New Roman" w:cs="Times New Roman"/>
                <w:b/>
                <w:sz w:val="20"/>
              </w:rPr>
              <w:tab/>
              <w:t>Erfahrungen</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6"/>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Triagierung nach neurologischen Leitsymptomen</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6"/>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Anamnese/Status bei neurologischen Notfall- und Intensivpatientinnen und -patienten, Verwendung von Skalen und Scores</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6"/>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Differentialdiagnostik bei Bewusstseins- und Wesensveränderungen</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6"/>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Erstellung eines Diagnose- und Behandlungsplans für neurologische Notfall- und Intensivpatientinnen und -patienten</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6"/>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Interdisziplinäres Arbeiten bei neurologischen Notfällen und Intensivpatientinnen und -patienten</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6"/>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Analgosedierung</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6"/>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Akute neurologische Komplikationen systemischer Erkrankungen, lokaler/systemischer Therapien und bei postoperativen Intensivpatientinnen und -patienten</w:t>
            </w:r>
          </w:p>
        </w:tc>
      </w:tr>
    </w:tbl>
    <w:p w:rsidR="00271556" w:rsidRPr="004879F6" w:rsidRDefault="00271556" w:rsidP="00271556">
      <w:pPr>
        <w:spacing w:after="0" w:line="240" w:lineRule="auto"/>
        <w:rPr>
          <w:rFonts w:ascii="Times New Roman" w:hAnsi="Times New Roman" w:cs="Times"/>
          <w:sz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2"/>
        <w:gridCol w:w="1444"/>
      </w:tblGrid>
      <w:tr w:rsidR="00271556" w:rsidRPr="004879F6" w:rsidTr="00BE4DBF">
        <w:tc>
          <w:tcPr>
            <w:tcW w:w="7938" w:type="dxa"/>
            <w:shd w:val="clear" w:color="auto" w:fill="auto"/>
            <w:tcMar>
              <w:top w:w="57" w:type="dxa"/>
              <w:left w:w="284" w:type="dxa"/>
              <w:bottom w:w="57" w:type="dxa"/>
            </w:tcMar>
          </w:tcPr>
          <w:p w:rsidR="00271556" w:rsidRPr="004879F6" w:rsidRDefault="00271556" w:rsidP="00BE4DBF">
            <w:pPr>
              <w:tabs>
                <w:tab w:val="left" w:pos="425"/>
              </w:tabs>
              <w:spacing w:after="0"/>
              <w:rPr>
                <w:rFonts w:ascii="Times New Roman" w:hAnsi="Times New Roman" w:cs="Times New Roman"/>
                <w:b/>
                <w:sz w:val="20"/>
              </w:rPr>
            </w:pPr>
            <w:r w:rsidRPr="004879F6">
              <w:rPr>
                <w:rFonts w:ascii="Times New Roman" w:hAnsi="Times New Roman" w:cs="Times New Roman"/>
                <w:b/>
                <w:sz w:val="20"/>
              </w:rPr>
              <w:t>C)</w:t>
            </w:r>
            <w:r w:rsidRPr="004879F6">
              <w:rPr>
                <w:rFonts w:ascii="Times New Roman" w:hAnsi="Times New Roman" w:cs="Times New Roman"/>
                <w:b/>
                <w:sz w:val="20"/>
              </w:rPr>
              <w:tab/>
              <w:t>Fertigkeiten</w:t>
            </w:r>
          </w:p>
        </w:tc>
        <w:tc>
          <w:tcPr>
            <w:tcW w:w="1418" w:type="dxa"/>
            <w:shd w:val="clear" w:color="auto" w:fill="auto"/>
            <w:tcMar>
              <w:top w:w="57" w:type="dxa"/>
              <w:left w:w="284" w:type="dxa"/>
              <w:bottom w:w="57" w:type="dxa"/>
            </w:tcMar>
          </w:tcPr>
          <w:p w:rsidR="00271556" w:rsidRPr="004879F6" w:rsidRDefault="00271556" w:rsidP="00BE4DBF">
            <w:pPr>
              <w:spacing w:after="0"/>
              <w:ind w:left="-141"/>
              <w:jc w:val="center"/>
              <w:rPr>
                <w:rFonts w:ascii="Times New Roman" w:hAnsi="Times New Roman" w:cs="Times New Roman"/>
                <w:b/>
                <w:sz w:val="20"/>
              </w:rPr>
            </w:pPr>
            <w:r w:rsidRPr="004879F6">
              <w:rPr>
                <w:rFonts w:ascii="Times New Roman" w:hAnsi="Times New Roman" w:cs="Times New Roman"/>
                <w:b/>
                <w:sz w:val="20"/>
              </w:rPr>
              <w:t>Richtzahl</w:t>
            </w: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17"/>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Fachspezifische Behandlung von neurologischen Notfall- und Intensivpatientinnen und -patienten</w:t>
            </w:r>
          </w:p>
        </w:tc>
        <w:tc>
          <w:tcPr>
            <w:tcW w:w="1418" w:type="dxa"/>
            <w:shd w:val="clear" w:color="auto" w:fill="auto"/>
            <w:tcMar>
              <w:top w:w="57" w:type="dxa"/>
              <w:left w:w="284" w:type="dxa"/>
              <w:bottom w:w="57" w:type="dxa"/>
            </w:tcMar>
          </w:tcPr>
          <w:p w:rsidR="00271556" w:rsidRPr="004879F6" w:rsidRDefault="00271556" w:rsidP="00BE4DBF">
            <w:pPr>
              <w:spacing w:after="0"/>
              <w:ind w:left="-141"/>
              <w:jc w:val="center"/>
              <w:rPr>
                <w:rFonts w:ascii="Times New Roman" w:hAnsi="Times New Roman" w:cs="Times New Roman"/>
                <w:sz w:val="20"/>
              </w:rPr>
            </w:pPr>
            <w:r w:rsidRPr="004879F6">
              <w:rPr>
                <w:rFonts w:ascii="Times New Roman" w:hAnsi="Times New Roman" w:cs="Times New Roman"/>
                <w:sz w:val="20"/>
              </w:rPr>
              <w:t>50</w:t>
            </w: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17"/>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Management der Vitalparameter bei neurologischen Intensivpatientinnen und -patienten wie z.B. Blutdruck, Atmung, Temperatur, Hirndruck, Perfusionsdruck</w:t>
            </w:r>
          </w:p>
        </w:tc>
        <w:tc>
          <w:tcPr>
            <w:tcW w:w="1418" w:type="dxa"/>
            <w:shd w:val="clear" w:color="auto" w:fill="auto"/>
            <w:tcMar>
              <w:top w:w="57" w:type="dxa"/>
              <w:left w:w="284" w:type="dxa"/>
              <w:bottom w:w="57" w:type="dxa"/>
            </w:tcMar>
          </w:tcPr>
          <w:p w:rsidR="00271556" w:rsidRPr="004879F6" w:rsidRDefault="00271556" w:rsidP="00BE4DBF">
            <w:pPr>
              <w:spacing w:after="0"/>
              <w:ind w:left="-141"/>
              <w:jc w:val="center"/>
              <w:rPr>
                <w:rFonts w:ascii="Times New Roman" w:hAnsi="Times New Roman" w:cs="Times New Roman"/>
                <w:sz w:val="20"/>
                <w:szCs w:val="20"/>
              </w:rPr>
            </w:pP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17"/>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Durchführung/Wertung fachspezifischer elektrophysiologischer Untersuchungen bei neurologischen Intensivpatientinnen und -patienten</w:t>
            </w:r>
          </w:p>
        </w:tc>
        <w:tc>
          <w:tcPr>
            <w:tcW w:w="1418" w:type="dxa"/>
            <w:shd w:val="clear" w:color="auto" w:fill="auto"/>
            <w:tcMar>
              <w:top w:w="57" w:type="dxa"/>
              <w:left w:w="284" w:type="dxa"/>
              <w:bottom w:w="57" w:type="dxa"/>
            </w:tcMar>
          </w:tcPr>
          <w:p w:rsidR="00271556" w:rsidRPr="004879F6" w:rsidRDefault="00271556" w:rsidP="00BE4DBF">
            <w:pPr>
              <w:spacing w:after="0"/>
              <w:ind w:left="-141"/>
              <w:jc w:val="center"/>
              <w:rPr>
                <w:rFonts w:ascii="Times New Roman" w:hAnsi="Times New Roman" w:cs="Times New Roman"/>
                <w:sz w:val="20"/>
                <w:szCs w:val="20"/>
              </w:rPr>
            </w:pP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17"/>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Liquorentnahme und -befundung der Notfallparameter</w:t>
            </w:r>
          </w:p>
        </w:tc>
        <w:tc>
          <w:tcPr>
            <w:tcW w:w="1418" w:type="dxa"/>
            <w:shd w:val="clear" w:color="auto" w:fill="auto"/>
            <w:tcMar>
              <w:top w:w="57" w:type="dxa"/>
              <w:left w:w="284" w:type="dxa"/>
              <w:bottom w:w="57" w:type="dxa"/>
            </w:tcMar>
          </w:tcPr>
          <w:p w:rsidR="00271556" w:rsidRPr="004879F6" w:rsidRDefault="00271556" w:rsidP="00BE4DBF">
            <w:pPr>
              <w:spacing w:after="0"/>
              <w:ind w:left="-141"/>
              <w:jc w:val="center"/>
              <w:rPr>
                <w:rFonts w:ascii="Times New Roman" w:hAnsi="Times New Roman" w:cs="Times New Roman"/>
                <w:sz w:val="20"/>
                <w:szCs w:val="20"/>
              </w:rPr>
            </w:pP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17"/>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Neuromonitoring wie z.B. TCD, EEG, EPs</w:t>
            </w:r>
          </w:p>
        </w:tc>
        <w:tc>
          <w:tcPr>
            <w:tcW w:w="1418" w:type="dxa"/>
            <w:shd w:val="clear" w:color="auto" w:fill="auto"/>
            <w:tcMar>
              <w:top w:w="57" w:type="dxa"/>
              <w:left w:w="284" w:type="dxa"/>
              <w:bottom w:w="57" w:type="dxa"/>
            </w:tcMar>
          </w:tcPr>
          <w:p w:rsidR="00271556" w:rsidRPr="004879F6" w:rsidRDefault="00271556" w:rsidP="00BE4DBF">
            <w:pPr>
              <w:spacing w:after="0"/>
              <w:ind w:left="-141"/>
              <w:jc w:val="center"/>
              <w:rPr>
                <w:rFonts w:ascii="Times New Roman" w:hAnsi="Times New Roman" w:cs="Times New Roman"/>
                <w:sz w:val="20"/>
                <w:lang w:val="en-US"/>
              </w:rPr>
            </w:pPr>
            <w:r w:rsidRPr="004879F6">
              <w:rPr>
                <w:rFonts w:ascii="Times New Roman" w:hAnsi="Times New Roman" w:cs="Times New Roman"/>
                <w:sz w:val="20"/>
              </w:rPr>
              <w:t>15</w:t>
            </w: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17"/>
              </w:numPr>
              <w:spacing w:after="0" w:line="240" w:lineRule="auto"/>
              <w:ind w:left="425" w:hanging="425"/>
              <w:rPr>
                <w:rFonts w:ascii="Times New Roman" w:hAnsi="Times New Roman" w:cs="Times New Roman"/>
                <w:sz w:val="20"/>
                <w:szCs w:val="20"/>
                <w:lang w:val="en-US"/>
              </w:rPr>
            </w:pPr>
            <w:r w:rsidRPr="004879F6">
              <w:rPr>
                <w:rFonts w:ascii="Times New Roman" w:hAnsi="Times New Roman" w:cs="Times New Roman"/>
                <w:sz w:val="20"/>
                <w:szCs w:val="20"/>
              </w:rPr>
              <w:t>Kardiopulmonales</w:t>
            </w:r>
            <w:r w:rsidRPr="004879F6">
              <w:rPr>
                <w:rFonts w:ascii="Times New Roman" w:hAnsi="Times New Roman" w:cs="Times New Roman"/>
                <w:sz w:val="20"/>
                <w:szCs w:val="20"/>
                <w:lang w:val="en-US"/>
              </w:rPr>
              <w:t xml:space="preserve"> Monitoring</w:t>
            </w:r>
          </w:p>
        </w:tc>
        <w:tc>
          <w:tcPr>
            <w:tcW w:w="1418" w:type="dxa"/>
            <w:shd w:val="clear" w:color="auto" w:fill="auto"/>
            <w:tcMar>
              <w:top w:w="57" w:type="dxa"/>
              <w:left w:w="284" w:type="dxa"/>
              <w:bottom w:w="57" w:type="dxa"/>
            </w:tcMar>
          </w:tcPr>
          <w:p w:rsidR="00271556" w:rsidRPr="004879F6" w:rsidRDefault="00271556" w:rsidP="00BE4DBF">
            <w:pPr>
              <w:spacing w:after="0"/>
              <w:ind w:left="-141"/>
              <w:jc w:val="center"/>
              <w:rPr>
                <w:rFonts w:ascii="Times New Roman" w:hAnsi="Times New Roman" w:cs="Times New Roman"/>
                <w:sz w:val="20"/>
                <w:szCs w:val="20"/>
                <w:lang w:val="en-US"/>
              </w:rPr>
            </w:pP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17"/>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rPr>
              <w:t>Fachspezifische Interpretation der von Radiologinnen und Radiologen und Nuklearmedizinerinnen und Nuklearmedizinern erhobenen Bilder und Befunde</w:t>
            </w:r>
            <w:r w:rsidRPr="004879F6">
              <w:rPr>
                <w:rFonts w:ascii="Times New Roman" w:hAnsi="Times New Roman" w:cs="Times New Roman"/>
                <w:sz w:val="20"/>
                <w:szCs w:val="20"/>
              </w:rPr>
              <w:t xml:space="preserve"> im klinischen Kontext</w:t>
            </w:r>
          </w:p>
        </w:tc>
        <w:tc>
          <w:tcPr>
            <w:tcW w:w="1418" w:type="dxa"/>
            <w:shd w:val="clear" w:color="auto" w:fill="auto"/>
            <w:tcMar>
              <w:top w:w="57" w:type="dxa"/>
              <w:left w:w="284" w:type="dxa"/>
              <w:bottom w:w="57" w:type="dxa"/>
            </w:tcMar>
          </w:tcPr>
          <w:p w:rsidR="00271556" w:rsidRPr="004879F6" w:rsidRDefault="00271556" w:rsidP="00BE4DBF">
            <w:pPr>
              <w:spacing w:after="0"/>
              <w:ind w:left="-141"/>
              <w:jc w:val="center"/>
              <w:rPr>
                <w:rFonts w:ascii="Times New Roman" w:hAnsi="Times New Roman" w:cs="Times New Roman"/>
                <w:sz w:val="20"/>
                <w:szCs w:val="20"/>
              </w:rPr>
            </w:pP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17"/>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lastRenderedPageBreak/>
              <w:t>Intensivmedizinische Versorgung von neurologischen Langzeitpatientinnen und -patienten wie z.B. neuromuskuläre Erkrankungen, „minimal responsive state“</w:t>
            </w:r>
          </w:p>
        </w:tc>
        <w:tc>
          <w:tcPr>
            <w:tcW w:w="1418" w:type="dxa"/>
            <w:shd w:val="clear" w:color="auto" w:fill="auto"/>
            <w:tcMar>
              <w:top w:w="57" w:type="dxa"/>
              <w:left w:w="284" w:type="dxa"/>
              <w:bottom w:w="57" w:type="dxa"/>
            </w:tcMar>
          </w:tcPr>
          <w:p w:rsidR="00271556" w:rsidRPr="004879F6" w:rsidRDefault="00271556" w:rsidP="00BE4DBF">
            <w:pPr>
              <w:spacing w:after="0"/>
              <w:ind w:left="-141"/>
              <w:jc w:val="center"/>
              <w:rPr>
                <w:rFonts w:ascii="Times New Roman" w:hAnsi="Times New Roman" w:cs="Times New Roman"/>
                <w:sz w:val="20"/>
                <w:szCs w:val="20"/>
              </w:rPr>
            </w:pP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17"/>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 xml:space="preserve">Durchführung von apparativen intensivmedizinischen Maßnahmen, gegebenenfalls in interdisziplinärer Zusammenarbeit, z.B. </w:t>
            </w:r>
          </w:p>
        </w:tc>
        <w:tc>
          <w:tcPr>
            <w:tcW w:w="1418" w:type="dxa"/>
            <w:shd w:val="clear" w:color="auto" w:fill="auto"/>
            <w:tcMar>
              <w:top w:w="57" w:type="dxa"/>
              <w:left w:w="284" w:type="dxa"/>
              <w:bottom w:w="57" w:type="dxa"/>
            </w:tcMar>
          </w:tcPr>
          <w:p w:rsidR="00271556" w:rsidRPr="004879F6" w:rsidRDefault="00271556" w:rsidP="00BE4DBF">
            <w:pPr>
              <w:spacing w:after="0"/>
              <w:ind w:left="-141"/>
              <w:jc w:val="center"/>
              <w:rPr>
                <w:rFonts w:ascii="Times New Roman" w:hAnsi="Times New Roman" w:cs="Times New Roman"/>
                <w:sz w:val="20"/>
              </w:rPr>
            </w:pP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25"/>
              </w:numPr>
              <w:spacing w:after="0" w:line="240" w:lineRule="auto"/>
              <w:ind w:left="851"/>
              <w:contextualSpacing/>
              <w:rPr>
                <w:rFonts w:ascii="Times New Roman" w:hAnsi="Times New Roman" w:cs="Times New Roman"/>
                <w:sz w:val="20"/>
              </w:rPr>
            </w:pPr>
            <w:r w:rsidRPr="004879F6">
              <w:rPr>
                <w:rFonts w:ascii="Times New Roman" w:hAnsi="Times New Roman" w:cs="Times New Roman"/>
                <w:sz w:val="20"/>
              </w:rPr>
              <w:t>arterielle Kanülierung</w:t>
            </w:r>
          </w:p>
        </w:tc>
        <w:tc>
          <w:tcPr>
            <w:tcW w:w="1418" w:type="dxa"/>
            <w:shd w:val="clear" w:color="auto" w:fill="auto"/>
            <w:tcMar>
              <w:top w:w="57" w:type="dxa"/>
              <w:left w:w="284" w:type="dxa"/>
              <w:bottom w:w="57" w:type="dxa"/>
            </w:tcMar>
          </w:tcPr>
          <w:p w:rsidR="00271556" w:rsidRPr="004879F6" w:rsidRDefault="00271556" w:rsidP="00BE4DBF">
            <w:pPr>
              <w:spacing w:after="0"/>
              <w:ind w:left="-141"/>
              <w:jc w:val="center"/>
              <w:rPr>
                <w:rFonts w:ascii="Times New Roman" w:hAnsi="Times New Roman" w:cs="Times New Roman"/>
                <w:sz w:val="20"/>
                <w:szCs w:val="20"/>
              </w:rPr>
            </w:pPr>
            <w:r w:rsidRPr="004879F6">
              <w:rPr>
                <w:rFonts w:ascii="Times New Roman" w:hAnsi="Times New Roman" w:cs="Times New Roman"/>
                <w:sz w:val="20"/>
              </w:rPr>
              <w:t>15</w:t>
            </w: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25"/>
              </w:numPr>
              <w:spacing w:after="0" w:line="240" w:lineRule="auto"/>
              <w:ind w:left="851"/>
              <w:contextualSpacing/>
              <w:rPr>
                <w:rFonts w:ascii="Times New Roman" w:hAnsi="Times New Roman" w:cs="Times New Roman"/>
                <w:sz w:val="20"/>
              </w:rPr>
            </w:pPr>
            <w:r w:rsidRPr="004879F6">
              <w:rPr>
                <w:rFonts w:ascii="Times New Roman" w:hAnsi="Times New Roman" w:cs="Times New Roman"/>
                <w:sz w:val="20"/>
              </w:rPr>
              <w:t>zentralvenöse Zugänge</w:t>
            </w:r>
          </w:p>
        </w:tc>
        <w:tc>
          <w:tcPr>
            <w:tcW w:w="1418" w:type="dxa"/>
            <w:shd w:val="clear" w:color="auto" w:fill="auto"/>
            <w:tcMar>
              <w:top w:w="57" w:type="dxa"/>
              <w:left w:w="284" w:type="dxa"/>
              <w:bottom w:w="57" w:type="dxa"/>
            </w:tcMar>
          </w:tcPr>
          <w:p w:rsidR="00271556" w:rsidRPr="004879F6" w:rsidRDefault="00271556" w:rsidP="00BE4DBF">
            <w:pPr>
              <w:spacing w:after="0"/>
              <w:ind w:left="-141"/>
              <w:jc w:val="center"/>
              <w:rPr>
                <w:rFonts w:ascii="Times New Roman" w:hAnsi="Times New Roman" w:cs="Times New Roman"/>
                <w:sz w:val="20"/>
                <w:szCs w:val="20"/>
              </w:rPr>
            </w:pPr>
            <w:r w:rsidRPr="004879F6">
              <w:rPr>
                <w:rFonts w:ascii="Times New Roman" w:hAnsi="Times New Roman" w:cs="Times New Roman"/>
                <w:sz w:val="20"/>
              </w:rPr>
              <w:t>15</w:t>
            </w: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25"/>
              </w:numPr>
              <w:spacing w:after="0" w:line="240" w:lineRule="auto"/>
              <w:ind w:left="851"/>
              <w:contextualSpacing/>
              <w:rPr>
                <w:rFonts w:ascii="Times New Roman" w:hAnsi="Times New Roman" w:cs="Times New Roman"/>
                <w:sz w:val="20"/>
              </w:rPr>
            </w:pPr>
            <w:r w:rsidRPr="004879F6">
              <w:rPr>
                <w:rFonts w:ascii="Times New Roman" w:hAnsi="Times New Roman" w:cs="Times New Roman"/>
                <w:sz w:val="20"/>
              </w:rPr>
              <w:t>Intubation</w:t>
            </w:r>
          </w:p>
        </w:tc>
        <w:tc>
          <w:tcPr>
            <w:tcW w:w="1418" w:type="dxa"/>
            <w:shd w:val="clear" w:color="auto" w:fill="auto"/>
            <w:tcMar>
              <w:top w:w="57" w:type="dxa"/>
              <w:left w:w="284" w:type="dxa"/>
              <w:bottom w:w="57" w:type="dxa"/>
            </w:tcMar>
          </w:tcPr>
          <w:p w:rsidR="00271556" w:rsidRPr="004879F6" w:rsidRDefault="00271556" w:rsidP="00BE4DBF">
            <w:pPr>
              <w:spacing w:after="0"/>
              <w:ind w:left="-141"/>
              <w:jc w:val="center"/>
              <w:rPr>
                <w:rFonts w:ascii="Times New Roman" w:hAnsi="Times New Roman" w:cs="Times New Roman"/>
                <w:sz w:val="20"/>
                <w:szCs w:val="20"/>
              </w:rPr>
            </w:pPr>
            <w:r w:rsidRPr="004879F6">
              <w:rPr>
                <w:rFonts w:ascii="Times New Roman" w:hAnsi="Times New Roman" w:cs="Times New Roman"/>
                <w:sz w:val="20"/>
              </w:rPr>
              <w:t>5</w:t>
            </w: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25"/>
              </w:numPr>
              <w:spacing w:after="0" w:line="240" w:lineRule="auto"/>
              <w:ind w:left="851"/>
              <w:contextualSpacing/>
              <w:rPr>
                <w:rFonts w:ascii="Times New Roman" w:hAnsi="Times New Roman" w:cs="Times New Roman"/>
                <w:sz w:val="20"/>
              </w:rPr>
            </w:pPr>
            <w:r w:rsidRPr="004879F6">
              <w:rPr>
                <w:rFonts w:ascii="Times New Roman" w:hAnsi="Times New Roman" w:cs="Times New Roman"/>
                <w:sz w:val="20"/>
              </w:rPr>
              <w:t xml:space="preserve">Blutgasanalyse </w:t>
            </w:r>
          </w:p>
        </w:tc>
        <w:tc>
          <w:tcPr>
            <w:tcW w:w="1418" w:type="dxa"/>
            <w:shd w:val="clear" w:color="auto" w:fill="auto"/>
            <w:tcMar>
              <w:top w:w="57" w:type="dxa"/>
              <w:left w:w="284" w:type="dxa"/>
              <w:bottom w:w="57" w:type="dxa"/>
            </w:tcMar>
          </w:tcPr>
          <w:p w:rsidR="00271556" w:rsidRPr="004879F6" w:rsidRDefault="00271556" w:rsidP="00BE4DBF">
            <w:pPr>
              <w:spacing w:after="0"/>
              <w:ind w:left="-141"/>
              <w:jc w:val="center"/>
              <w:rPr>
                <w:rFonts w:ascii="Times New Roman" w:hAnsi="Times New Roman" w:cs="Times New Roman"/>
                <w:sz w:val="20"/>
                <w:szCs w:val="20"/>
              </w:rPr>
            </w:pP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17"/>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Integrierte neurologische Frührehabilitation</w:t>
            </w:r>
          </w:p>
        </w:tc>
        <w:tc>
          <w:tcPr>
            <w:tcW w:w="1418" w:type="dxa"/>
            <w:shd w:val="clear" w:color="auto" w:fill="auto"/>
            <w:tcMar>
              <w:top w:w="57" w:type="dxa"/>
              <w:left w:w="284" w:type="dxa"/>
              <w:bottom w:w="57" w:type="dxa"/>
            </w:tcMar>
          </w:tcPr>
          <w:p w:rsidR="00271556" w:rsidRPr="004879F6" w:rsidRDefault="00271556" w:rsidP="00BE4DBF">
            <w:pPr>
              <w:spacing w:after="0"/>
              <w:ind w:left="-141"/>
              <w:jc w:val="center"/>
              <w:rPr>
                <w:rFonts w:ascii="Times New Roman" w:hAnsi="Times New Roman" w:cs="Times New Roman"/>
                <w:sz w:val="20"/>
                <w:szCs w:val="20"/>
              </w:rPr>
            </w:pP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17"/>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Prognoseerstellung quoad vitam und functionem</w:t>
            </w:r>
          </w:p>
        </w:tc>
        <w:tc>
          <w:tcPr>
            <w:tcW w:w="1418" w:type="dxa"/>
            <w:shd w:val="clear" w:color="auto" w:fill="auto"/>
            <w:tcMar>
              <w:top w:w="57" w:type="dxa"/>
              <w:left w:w="284" w:type="dxa"/>
              <w:bottom w:w="57" w:type="dxa"/>
            </w:tcMar>
          </w:tcPr>
          <w:p w:rsidR="00271556" w:rsidRPr="004879F6" w:rsidRDefault="00271556" w:rsidP="00BE4DBF">
            <w:pPr>
              <w:spacing w:after="0"/>
              <w:ind w:left="-141"/>
              <w:jc w:val="center"/>
              <w:rPr>
                <w:rFonts w:ascii="Times New Roman" w:hAnsi="Times New Roman" w:cs="Times New Roman"/>
                <w:sz w:val="20"/>
                <w:szCs w:val="20"/>
              </w:rPr>
            </w:pP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17"/>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Gesprächsführung, Aufklärung und Angehörigenbegleitung</w:t>
            </w:r>
          </w:p>
        </w:tc>
        <w:tc>
          <w:tcPr>
            <w:tcW w:w="1418" w:type="dxa"/>
            <w:shd w:val="clear" w:color="auto" w:fill="auto"/>
            <w:tcMar>
              <w:top w:w="57" w:type="dxa"/>
              <w:left w:w="284" w:type="dxa"/>
              <w:bottom w:w="57" w:type="dxa"/>
            </w:tcMar>
          </w:tcPr>
          <w:p w:rsidR="00271556" w:rsidRPr="004879F6" w:rsidRDefault="00271556" w:rsidP="00BE4DBF">
            <w:pPr>
              <w:spacing w:after="0"/>
              <w:ind w:left="-141"/>
              <w:jc w:val="center"/>
              <w:rPr>
                <w:rFonts w:ascii="Times New Roman" w:hAnsi="Times New Roman" w:cs="Times New Roman"/>
                <w:sz w:val="20"/>
                <w:szCs w:val="20"/>
              </w:rPr>
            </w:pPr>
          </w:p>
        </w:tc>
      </w:tr>
      <w:tr w:rsidR="00271556" w:rsidRPr="004879F6" w:rsidTr="00BE4DBF">
        <w:trPr>
          <w:trHeight w:val="117"/>
        </w:trPr>
        <w:tc>
          <w:tcPr>
            <w:tcW w:w="7938" w:type="dxa"/>
            <w:shd w:val="clear" w:color="auto" w:fill="auto"/>
            <w:tcMar>
              <w:top w:w="57" w:type="dxa"/>
              <w:left w:w="284" w:type="dxa"/>
              <w:bottom w:w="57" w:type="dxa"/>
            </w:tcMar>
          </w:tcPr>
          <w:p w:rsidR="00271556" w:rsidRPr="004879F6" w:rsidRDefault="00271556" w:rsidP="00271556">
            <w:pPr>
              <w:numPr>
                <w:ilvl w:val="0"/>
                <w:numId w:val="17"/>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Hirntoddiagnostik und Betreuung von potentiellen Organspenderinnen und -spendern</w:t>
            </w:r>
          </w:p>
        </w:tc>
        <w:tc>
          <w:tcPr>
            <w:tcW w:w="1418" w:type="dxa"/>
            <w:shd w:val="clear" w:color="auto" w:fill="auto"/>
            <w:tcMar>
              <w:top w:w="57" w:type="dxa"/>
              <w:left w:w="284" w:type="dxa"/>
              <w:bottom w:w="57" w:type="dxa"/>
            </w:tcMar>
          </w:tcPr>
          <w:p w:rsidR="00271556" w:rsidRPr="004879F6" w:rsidRDefault="00271556" w:rsidP="00BE4DBF">
            <w:pPr>
              <w:spacing w:after="0"/>
              <w:ind w:left="-141"/>
              <w:jc w:val="center"/>
              <w:rPr>
                <w:rFonts w:ascii="Times New Roman" w:hAnsi="Times New Roman" w:cs="Times New Roman"/>
                <w:sz w:val="20"/>
                <w:szCs w:val="20"/>
              </w:rPr>
            </w:pPr>
          </w:p>
        </w:tc>
      </w:tr>
      <w:tr w:rsidR="00271556" w:rsidRPr="004879F6" w:rsidTr="00BE4DBF">
        <w:trPr>
          <w:trHeight w:val="117"/>
        </w:trPr>
        <w:tc>
          <w:tcPr>
            <w:tcW w:w="7938" w:type="dxa"/>
            <w:shd w:val="clear" w:color="auto" w:fill="auto"/>
            <w:tcMar>
              <w:top w:w="57" w:type="dxa"/>
              <w:left w:w="284" w:type="dxa"/>
              <w:bottom w:w="57" w:type="dxa"/>
            </w:tcMar>
          </w:tcPr>
          <w:p w:rsidR="00271556" w:rsidRPr="004879F6" w:rsidRDefault="00271556" w:rsidP="00271556">
            <w:pPr>
              <w:numPr>
                <w:ilvl w:val="0"/>
                <w:numId w:val="17"/>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Allfällig Durchführung der endoskopischen Schluckdiagnostik</w:t>
            </w:r>
          </w:p>
        </w:tc>
        <w:tc>
          <w:tcPr>
            <w:tcW w:w="1418" w:type="dxa"/>
            <w:shd w:val="clear" w:color="auto" w:fill="auto"/>
            <w:tcMar>
              <w:top w:w="57" w:type="dxa"/>
              <w:left w:w="284" w:type="dxa"/>
              <w:bottom w:w="57" w:type="dxa"/>
            </w:tcMar>
          </w:tcPr>
          <w:p w:rsidR="00271556" w:rsidRPr="004879F6" w:rsidRDefault="00271556" w:rsidP="00BE4DBF">
            <w:pPr>
              <w:spacing w:after="0"/>
              <w:ind w:left="-141"/>
              <w:jc w:val="center"/>
              <w:rPr>
                <w:rFonts w:ascii="Times New Roman" w:hAnsi="Times New Roman" w:cs="Times New Roman"/>
                <w:sz w:val="20"/>
                <w:szCs w:val="20"/>
              </w:rPr>
            </w:pPr>
            <w:r w:rsidRPr="004879F6">
              <w:rPr>
                <w:rFonts w:ascii="Times New Roman" w:hAnsi="Times New Roman" w:cs="Times New Roman"/>
                <w:sz w:val="20"/>
                <w:szCs w:val="20"/>
              </w:rPr>
              <w:t>10</w:t>
            </w:r>
          </w:p>
        </w:tc>
      </w:tr>
    </w:tbl>
    <w:p w:rsidR="00271556" w:rsidRPr="004879F6" w:rsidRDefault="00271556" w:rsidP="00271556">
      <w:pPr>
        <w:spacing w:after="0" w:line="240" w:lineRule="auto"/>
        <w:rPr>
          <w:rFonts w:ascii="Times New Roman" w:hAnsi="Times New Roman" w:cs="Times New Roman"/>
          <w:b/>
          <w:sz w:val="20"/>
          <w:szCs w:val="20"/>
        </w:rPr>
      </w:pPr>
    </w:p>
    <w:p w:rsidR="00271556" w:rsidRPr="004879F6" w:rsidRDefault="00271556" w:rsidP="00271556">
      <w:pPr>
        <w:spacing w:after="0" w:line="240" w:lineRule="auto"/>
        <w:jc w:val="center"/>
        <w:rPr>
          <w:rFonts w:ascii="Times New Roman" w:hAnsi="Times New Roman" w:cs="Times New Roman"/>
          <w:b/>
          <w:sz w:val="20"/>
          <w:szCs w:val="20"/>
          <w:lang w:val="de-DE"/>
        </w:rPr>
      </w:pPr>
    </w:p>
    <w:p w:rsidR="00271556" w:rsidRPr="004879F6" w:rsidRDefault="00271556" w:rsidP="00271556">
      <w:pPr>
        <w:spacing w:after="0"/>
        <w:jc w:val="center"/>
        <w:outlineLvl w:val="0"/>
        <w:rPr>
          <w:rFonts w:ascii="Times New Roman" w:hAnsi="Times New Roman" w:cs="Times New Roman"/>
          <w:b/>
          <w:sz w:val="20"/>
          <w:szCs w:val="20"/>
          <w:lang w:val="de-DE"/>
        </w:rPr>
      </w:pPr>
      <w:r w:rsidRPr="004879F6">
        <w:rPr>
          <w:rFonts w:ascii="Times New Roman" w:hAnsi="Times New Roman" w:cs="Times New Roman"/>
          <w:b/>
          <w:sz w:val="20"/>
        </w:rPr>
        <w:br w:type="page"/>
      </w:r>
      <w:r w:rsidRPr="004879F6">
        <w:rPr>
          <w:rFonts w:ascii="Times New Roman" w:hAnsi="Times New Roman" w:cs="Times New Roman"/>
          <w:b/>
          <w:sz w:val="20"/>
          <w:szCs w:val="20"/>
          <w:lang w:val="de-DE"/>
        </w:rPr>
        <w:lastRenderedPageBreak/>
        <w:t xml:space="preserve">Modul 6: </w:t>
      </w:r>
      <w:r w:rsidRPr="004879F6">
        <w:rPr>
          <w:rFonts w:ascii="Times New Roman" w:hAnsi="Times New Roman" w:cs="Times New Roman"/>
          <w:b/>
          <w:sz w:val="20"/>
          <w:szCs w:val="20"/>
        </w:rPr>
        <w:t>Vertieftes Schlaganfallmanagement</w:t>
      </w:r>
    </w:p>
    <w:p w:rsidR="00271556" w:rsidRPr="004879F6" w:rsidRDefault="00271556" w:rsidP="00271556">
      <w:pPr>
        <w:spacing w:after="0"/>
        <w:jc w:val="center"/>
        <w:rPr>
          <w:rFonts w:ascii="Times New Roman" w:hAnsi="Times New Roman" w:cs="Times New Roman"/>
          <w:b/>
          <w:sz w:val="20"/>
          <w:szCs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271556" w:rsidRPr="004879F6" w:rsidTr="00BE4DBF">
        <w:trPr>
          <w:trHeight w:val="263"/>
        </w:trPr>
        <w:tc>
          <w:tcPr>
            <w:tcW w:w="9526" w:type="dxa"/>
            <w:shd w:val="clear" w:color="auto" w:fill="auto"/>
            <w:tcMar>
              <w:top w:w="57" w:type="dxa"/>
              <w:left w:w="284" w:type="dxa"/>
              <w:bottom w:w="57" w:type="dxa"/>
            </w:tcMar>
          </w:tcPr>
          <w:p w:rsidR="00271556" w:rsidRPr="004879F6" w:rsidRDefault="00271556" w:rsidP="00BE4DBF">
            <w:pPr>
              <w:tabs>
                <w:tab w:val="left" w:pos="425"/>
              </w:tabs>
              <w:spacing w:after="0"/>
              <w:rPr>
                <w:rFonts w:ascii="Times New Roman" w:hAnsi="Times New Roman" w:cs="Times New Roman"/>
                <w:b/>
                <w:sz w:val="20"/>
              </w:rPr>
            </w:pPr>
            <w:r w:rsidRPr="004879F6">
              <w:rPr>
                <w:rFonts w:ascii="Times New Roman" w:hAnsi="Times New Roman" w:cs="Times New Roman"/>
                <w:b/>
                <w:sz w:val="20"/>
              </w:rPr>
              <w:t>A)</w:t>
            </w:r>
            <w:r w:rsidRPr="004879F6">
              <w:rPr>
                <w:rFonts w:ascii="Times New Roman" w:hAnsi="Times New Roman" w:cs="Times New Roman"/>
                <w:b/>
                <w:sz w:val="20"/>
              </w:rPr>
              <w:tab/>
              <w:t>Kenntnisse</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8"/>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 xml:space="preserve">Grundlagen der Erkrankungen von Gefäßen des Kreislaufsystems inkl. Blutgerinnung und kardiovaskulären Risikofaktoren </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8"/>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Pathophysiologie, Diagnostik und Management der wichtigsten kardiopulmonalen Komplikationen bei Schlaganfallpatientinnen und -patienten</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8"/>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Seltene neurovaskuläre Erkrankungen</w:t>
            </w:r>
          </w:p>
        </w:tc>
      </w:tr>
    </w:tbl>
    <w:p w:rsidR="00271556" w:rsidRPr="004879F6" w:rsidRDefault="00271556" w:rsidP="00271556">
      <w:pPr>
        <w:spacing w:after="0" w:line="240" w:lineRule="auto"/>
        <w:rPr>
          <w:rFonts w:ascii="Times New Roman" w:hAnsi="Times New Roman" w:cs="Times"/>
          <w:sz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271556" w:rsidRPr="004879F6" w:rsidTr="00BE4DBF">
        <w:trPr>
          <w:trHeight w:val="263"/>
        </w:trPr>
        <w:tc>
          <w:tcPr>
            <w:tcW w:w="9526" w:type="dxa"/>
            <w:shd w:val="clear" w:color="auto" w:fill="auto"/>
            <w:tcMar>
              <w:top w:w="57" w:type="dxa"/>
              <w:left w:w="284" w:type="dxa"/>
              <w:bottom w:w="57" w:type="dxa"/>
            </w:tcMar>
          </w:tcPr>
          <w:p w:rsidR="00271556" w:rsidRPr="004879F6" w:rsidRDefault="00271556" w:rsidP="00BE4DBF">
            <w:pPr>
              <w:tabs>
                <w:tab w:val="left" w:pos="425"/>
              </w:tabs>
              <w:spacing w:after="0"/>
              <w:rPr>
                <w:rFonts w:ascii="Times New Roman" w:hAnsi="Times New Roman" w:cs="Times New Roman"/>
                <w:b/>
                <w:sz w:val="20"/>
              </w:rPr>
            </w:pPr>
            <w:r w:rsidRPr="004879F6">
              <w:rPr>
                <w:rFonts w:ascii="Times New Roman" w:hAnsi="Times New Roman" w:cs="Times New Roman"/>
                <w:b/>
                <w:sz w:val="20"/>
              </w:rPr>
              <w:t>B)</w:t>
            </w:r>
            <w:r w:rsidRPr="004879F6">
              <w:rPr>
                <w:rFonts w:ascii="Times New Roman" w:hAnsi="Times New Roman" w:cs="Times New Roman"/>
                <w:b/>
                <w:sz w:val="20"/>
              </w:rPr>
              <w:tab/>
              <w:t>Erfahrungen</w:t>
            </w:r>
          </w:p>
        </w:tc>
      </w:tr>
      <w:tr w:rsidR="00271556" w:rsidRPr="004879F6" w:rsidTr="00BE4DBF">
        <w:tc>
          <w:tcPr>
            <w:tcW w:w="9526" w:type="dxa"/>
            <w:shd w:val="clear" w:color="auto" w:fill="auto"/>
            <w:tcMar>
              <w:top w:w="57" w:type="dxa"/>
              <w:left w:w="284" w:type="dxa"/>
              <w:bottom w:w="57" w:type="dxa"/>
            </w:tcMar>
          </w:tcPr>
          <w:p w:rsidR="00271556" w:rsidRPr="004879F6" w:rsidRDefault="00271556" w:rsidP="00271556">
            <w:pPr>
              <w:numPr>
                <w:ilvl w:val="0"/>
                <w:numId w:val="19"/>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i.v. Thrombolyse</w:t>
            </w:r>
          </w:p>
        </w:tc>
      </w:tr>
      <w:tr w:rsidR="00271556" w:rsidRPr="004879F6" w:rsidTr="00BE4DBF">
        <w:trPr>
          <w:trHeight w:val="225"/>
        </w:trPr>
        <w:tc>
          <w:tcPr>
            <w:tcW w:w="9526" w:type="dxa"/>
            <w:shd w:val="clear" w:color="auto" w:fill="auto"/>
            <w:tcMar>
              <w:top w:w="57" w:type="dxa"/>
              <w:left w:w="284" w:type="dxa"/>
              <w:bottom w:w="57" w:type="dxa"/>
            </w:tcMar>
          </w:tcPr>
          <w:p w:rsidR="00271556" w:rsidRPr="004879F6" w:rsidRDefault="00271556" w:rsidP="00271556">
            <w:pPr>
              <w:numPr>
                <w:ilvl w:val="0"/>
                <w:numId w:val="19"/>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Endovaskuläre Schlaganfalltherapie</w:t>
            </w:r>
          </w:p>
        </w:tc>
      </w:tr>
      <w:tr w:rsidR="00271556" w:rsidRPr="004879F6" w:rsidTr="00BE4DBF">
        <w:trPr>
          <w:trHeight w:val="120"/>
        </w:trPr>
        <w:tc>
          <w:tcPr>
            <w:tcW w:w="9526" w:type="dxa"/>
            <w:shd w:val="clear" w:color="auto" w:fill="auto"/>
            <w:tcMar>
              <w:top w:w="57" w:type="dxa"/>
              <w:left w:w="284" w:type="dxa"/>
              <w:bottom w:w="57" w:type="dxa"/>
            </w:tcMar>
          </w:tcPr>
          <w:p w:rsidR="00271556" w:rsidRPr="004879F6" w:rsidRDefault="00271556" w:rsidP="00271556">
            <w:pPr>
              <w:numPr>
                <w:ilvl w:val="0"/>
                <w:numId w:val="19"/>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Ablauforganisation an der Stroke Unit und in der regionalen Schlaganfallversorgung</w:t>
            </w:r>
          </w:p>
        </w:tc>
      </w:tr>
      <w:tr w:rsidR="00271556" w:rsidRPr="004879F6" w:rsidTr="00BE4DBF">
        <w:trPr>
          <w:trHeight w:val="120"/>
        </w:trPr>
        <w:tc>
          <w:tcPr>
            <w:tcW w:w="9526" w:type="dxa"/>
            <w:shd w:val="clear" w:color="auto" w:fill="auto"/>
            <w:tcMar>
              <w:top w:w="57" w:type="dxa"/>
              <w:left w:w="284" w:type="dxa"/>
              <w:bottom w:w="57" w:type="dxa"/>
            </w:tcMar>
          </w:tcPr>
          <w:p w:rsidR="00271556" w:rsidRPr="004879F6" w:rsidRDefault="00271556" w:rsidP="00271556">
            <w:pPr>
              <w:numPr>
                <w:ilvl w:val="0"/>
                <w:numId w:val="19"/>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Verwendung von Schlaganfallskalen und anderen Scores</w:t>
            </w:r>
          </w:p>
        </w:tc>
      </w:tr>
      <w:tr w:rsidR="00271556" w:rsidRPr="004879F6" w:rsidTr="00BE4DBF">
        <w:trPr>
          <w:trHeight w:val="120"/>
        </w:trPr>
        <w:tc>
          <w:tcPr>
            <w:tcW w:w="9526" w:type="dxa"/>
            <w:shd w:val="clear" w:color="auto" w:fill="auto"/>
            <w:tcMar>
              <w:top w:w="57" w:type="dxa"/>
              <w:left w:w="284" w:type="dxa"/>
              <w:bottom w:w="57" w:type="dxa"/>
            </w:tcMar>
          </w:tcPr>
          <w:p w:rsidR="00271556" w:rsidRPr="004879F6" w:rsidRDefault="00271556" w:rsidP="00271556">
            <w:pPr>
              <w:numPr>
                <w:ilvl w:val="0"/>
                <w:numId w:val="19"/>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rPr>
              <w:t>Fachspezifische Interpretation der von Radiologinnen und Radiologen und Nuklearmedizinerinnen und Nuklearmedizinern erhobenen Bilder und Befunde</w:t>
            </w:r>
          </w:p>
        </w:tc>
      </w:tr>
      <w:tr w:rsidR="00271556" w:rsidRPr="004879F6" w:rsidTr="00BE4DBF">
        <w:trPr>
          <w:trHeight w:val="120"/>
        </w:trPr>
        <w:tc>
          <w:tcPr>
            <w:tcW w:w="9526" w:type="dxa"/>
            <w:shd w:val="clear" w:color="auto" w:fill="auto"/>
            <w:tcMar>
              <w:top w:w="57" w:type="dxa"/>
              <w:left w:w="284" w:type="dxa"/>
              <w:bottom w:w="57" w:type="dxa"/>
            </w:tcMar>
          </w:tcPr>
          <w:p w:rsidR="00271556" w:rsidRPr="004879F6" w:rsidRDefault="00271556" w:rsidP="00271556">
            <w:pPr>
              <w:numPr>
                <w:ilvl w:val="0"/>
                <w:numId w:val="19"/>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Interdisziplinäre chirurgische/interventionelle Therapieentscheidungen</w:t>
            </w:r>
          </w:p>
        </w:tc>
      </w:tr>
      <w:tr w:rsidR="00271556" w:rsidRPr="004879F6" w:rsidTr="00BE4DBF">
        <w:trPr>
          <w:trHeight w:val="120"/>
        </w:trPr>
        <w:tc>
          <w:tcPr>
            <w:tcW w:w="9526" w:type="dxa"/>
            <w:shd w:val="clear" w:color="auto" w:fill="auto"/>
            <w:tcMar>
              <w:top w:w="57" w:type="dxa"/>
              <w:left w:w="284" w:type="dxa"/>
              <w:bottom w:w="57" w:type="dxa"/>
            </w:tcMar>
          </w:tcPr>
          <w:p w:rsidR="00271556" w:rsidRPr="004879F6" w:rsidRDefault="00271556" w:rsidP="00271556">
            <w:pPr>
              <w:numPr>
                <w:ilvl w:val="0"/>
                <w:numId w:val="19"/>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Spezielle Patientinnen-und Patientengruppen: schwangere Frauen, Jugendliche, Kinder</w:t>
            </w:r>
          </w:p>
        </w:tc>
      </w:tr>
      <w:tr w:rsidR="00271556" w:rsidRPr="004879F6" w:rsidTr="00BE4DBF">
        <w:trPr>
          <w:trHeight w:val="120"/>
        </w:trPr>
        <w:tc>
          <w:tcPr>
            <w:tcW w:w="9526" w:type="dxa"/>
            <w:shd w:val="clear" w:color="auto" w:fill="auto"/>
            <w:tcMar>
              <w:top w:w="57" w:type="dxa"/>
              <w:left w:w="284" w:type="dxa"/>
              <w:bottom w:w="57" w:type="dxa"/>
            </w:tcMar>
          </w:tcPr>
          <w:p w:rsidR="00271556" w:rsidRPr="004879F6" w:rsidRDefault="00271556" w:rsidP="00271556">
            <w:pPr>
              <w:numPr>
                <w:ilvl w:val="0"/>
                <w:numId w:val="19"/>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Spezielle Verfahren der Neurosonographie</w:t>
            </w:r>
          </w:p>
        </w:tc>
      </w:tr>
      <w:tr w:rsidR="00271556" w:rsidRPr="004879F6" w:rsidTr="00BE4DBF">
        <w:trPr>
          <w:trHeight w:val="120"/>
        </w:trPr>
        <w:tc>
          <w:tcPr>
            <w:tcW w:w="9526" w:type="dxa"/>
            <w:shd w:val="clear" w:color="auto" w:fill="auto"/>
            <w:tcMar>
              <w:top w:w="57" w:type="dxa"/>
              <w:left w:w="284" w:type="dxa"/>
              <w:bottom w:w="57" w:type="dxa"/>
            </w:tcMar>
          </w:tcPr>
          <w:p w:rsidR="00271556" w:rsidRPr="004879F6" w:rsidRDefault="00271556" w:rsidP="00271556">
            <w:pPr>
              <w:numPr>
                <w:ilvl w:val="0"/>
                <w:numId w:val="19"/>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Schlaganfallversorgung in der Post-Akutphase</w:t>
            </w:r>
          </w:p>
        </w:tc>
      </w:tr>
      <w:tr w:rsidR="00271556" w:rsidRPr="004879F6" w:rsidTr="00BE4DBF">
        <w:trPr>
          <w:trHeight w:val="120"/>
        </w:trPr>
        <w:tc>
          <w:tcPr>
            <w:tcW w:w="9526" w:type="dxa"/>
            <w:shd w:val="clear" w:color="auto" w:fill="auto"/>
            <w:tcMar>
              <w:top w:w="57" w:type="dxa"/>
              <w:left w:w="284" w:type="dxa"/>
              <w:bottom w:w="57" w:type="dxa"/>
            </w:tcMar>
          </w:tcPr>
          <w:p w:rsidR="00271556" w:rsidRPr="004879F6" w:rsidRDefault="00271556" w:rsidP="00271556">
            <w:pPr>
              <w:numPr>
                <w:ilvl w:val="0"/>
                <w:numId w:val="19"/>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Kardiovaskuläre Risikoquantifizierung mittels Scores (z. B. PROCAM, Framingham)</w:t>
            </w:r>
          </w:p>
        </w:tc>
      </w:tr>
      <w:tr w:rsidR="00271556" w:rsidRPr="004879F6" w:rsidTr="00BE4DBF">
        <w:trPr>
          <w:trHeight w:val="120"/>
        </w:trPr>
        <w:tc>
          <w:tcPr>
            <w:tcW w:w="9526" w:type="dxa"/>
            <w:shd w:val="clear" w:color="auto" w:fill="auto"/>
            <w:tcMar>
              <w:top w:w="57" w:type="dxa"/>
              <w:left w:w="284" w:type="dxa"/>
              <w:bottom w:w="57" w:type="dxa"/>
            </w:tcMar>
          </w:tcPr>
          <w:p w:rsidR="00271556" w:rsidRPr="004879F6" w:rsidRDefault="00271556" w:rsidP="00271556">
            <w:pPr>
              <w:numPr>
                <w:ilvl w:val="0"/>
                <w:numId w:val="19"/>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Interdisziplinäres Management der wichtigsten kardiopulmonalen Komplikationen bei Schlaganfallpatientinnen und -patienten</w:t>
            </w:r>
          </w:p>
        </w:tc>
      </w:tr>
      <w:tr w:rsidR="00271556" w:rsidRPr="004879F6" w:rsidTr="00BE4DBF">
        <w:trPr>
          <w:trHeight w:val="120"/>
        </w:trPr>
        <w:tc>
          <w:tcPr>
            <w:tcW w:w="9526" w:type="dxa"/>
            <w:shd w:val="clear" w:color="auto" w:fill="auto"/>
            <w:tcMar>
              <w:top w:w="57" w:type="dxa"/>
              <w:left w:w="284" w:type="dxa"/>
              <w:bottom w:w="57" w:type="dxa"/>
            </w:tcMar>
          </w:tcPr>
          <w:p w:rsidR="00271556" w:rsidRPr="004879F6" w:rsidRDefault="00271556" w:rsidP="00271556">
            <w:pPr>
              <w:numPr>
                <w:ilvl w:val="0"/>
                <w:numId w:val="19"/>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Interdisziplinäre medikamentöse Therapie der Komorbiditäten</w:t>
            </w:r>
          </w:p>
        </w:tc>
      </w:tr>
      <w:tr w:rsidR="00271556" w:rsidRPr="004879F6" w:rsidTr="00BE4DBF">
        <w:trPr>
          <w:trHeight w:val="120"/>
        </w:trPr>
        <w:tc>
          <w:tcPr>
            <w:tcW w:w="9526" w:type="dxa"/>
            <w:shd w:val="clear" w:color="auto" w:fill="auto"/>
            <w:tcMar>
              <w:top w:w="57" w:type="dxa"/>
              <w:left w:w="284" w:type="dxa"/>
              <w:bottom w:w="57" w:type="dxa"/>
            </w:tcMar>
          </w:tcPr>
          <w:p w:rsidR="00271556" w:rsidRPr="004879F6" w:rsidRDefault="00271556" w:rsidP="00271556">
            <w:pPr>
              <w:numPr>
                <w:ilvl w:val="0"/>
                <w:numId w:val="19"/>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Intensivmedizinisches Monitoring an der Stroke Unit</w:t>
            </w:r>
          </w:p>
        </w:tc>
      </w:tr>
    </w:tbl>
    <w:p w:rsidR="00271556" w:rsidRPr="004879F6" w:rsidRDefault="00271556" w:rsidP="00271556">
      <w:pPr>
        <w:spacing w:after="0" w:line="240" w:lineRule="auto"/>
        <w:jc w:val="center"/>
        <w:rPr>
          <w:rFonts w:ascii="Times New Roman" w:hAnsi="Times New Roman" w:cs="Times New Roman"/>
          <w:b/>
          <w:sz w:val="20"/>
          <w:szCs w:val="20"/>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2"/>
        <w:gridCol w:w="1444"/>
      </w:tblGrid>
      <w:tr w:rsidR="00271556" w:rsidRPr="004879F6" w:rsidTr="00BE4DBF">
        <w:tc>
          <w:tcPr>
            <w:tcW w:w="7938" w:type="dxa"/>
            <w:shd w:val="clear" w:color="auto" w:fill="auto"/>
            <w:tcMar>
              <w:top w:w="57" w:type="dxa"/>
              <w:left w:w="284" w:type="dxa"/>
              <w:bottom w:w="57" w:type="dxa"/>
            </w:tcMar>
          </w:tcPr>
          <w:p w:rsidR="00271556" w:rsidRPr="004879F6" w:rsidRDefault="00271556" w:rsidP="00BE4DBF">
            <w:pPr>
              <w:tabs>
                <w:tab w:val="left" w:pos="425"/>
              </w:tabs>
              <w:spacing w:after="0"/>
              <w:rPr>
                <w:rFonts w:ascii="Times New Roman" w:hAnsi="Times New Roman" w:cs="Times New Roman"/>
                <w:b/>
                <w:sz w:val="20"/>
              </w:rPr>
            </w:pPr>
            <w:r w:rsidRPr="004879F6">
              <w:rPr>
                <w:rFonts w:ascii="Times New Roman" w:hAnsi="Times New Roman" w:cs="Times New Roman"/>
                <w:b/>
                <w:sz w:val="20"/>
              </w:rPr>
              <w:t>C)</w:t>
            </w:r>
            <w:r w:rsidRPr="004879F6">
              <w:rPr>
                <w:rFonts w:ascii="Times New Roman" w:hAnsi="Times New Roman" w:cs="Times New Roman"/>
                <w:b/>
                <w:sz w:val="20"/>
              </w:rPr>
              <w:tab/>
              <w:t>Fertigkeiten</w:t>
            </w:r>
          </w:p>
        </w:tc>
        <w:tc>
          <w:tcPr>
            <w:tcW w:w="1418" w:type="dxa"/>
            <w:shd w:val="clear" w:color="auto" w:fill="auto"/>
            <w:tcMar>
              <w:top w:w="57" w:type="dxa"/>
              <w:left w:w="284" w:type="dxa"/>
              <w:bottom w:w="57" w:type="dxa"/>
            </w:tcMar>
          </w:tcPr>
          <w:p w:rsidR="00271556" w:rsidRPr="004879F6" w:rsidRDefault="00271556" w:rsidP="00BE4DBF">
            <w:pPr>
              <w:spacing w:after="0"/>
              <w:ind w:left="-141"/>
              <w:jc w:val="center"/>
              <w:rPr>
                <w:rFonts w:ascii="Times New Roman" w:hAnsi="Times New Roman" w:cs="Times New Roman"/>
                <w:b/>
                <w:sz w:val="20"/>
              </w:rPr>
            </w:pPr>
            <w:r w:rsidRPr="004879F6">
              <w:rPr>
                <w:rFonts w:ascii="Times New Roman" w:hAnsi="Times New Roman" w:cs="Times New Roman"/>
                <w:b/>
                <w:sz w:val="20"/>
              </w:rPr>
              <w:t>Richtzahl</w:t>
            </w: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20"/>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Indikationsstellung und Durchführung der i.v. Thrombolyse unter Einbezug der gängigen Scoring-Instrumente und Optimierung der zeitlichen Abläufe</w:t>
            </w:r>
          </w:p>
        </w:tc>
        <w:tc>
          <w:tcPr>
            <w:tcW w:w="1418" w:type="dxa"/>
            <w:shd w:val="clear" w:color="auto" w:fill="auto"/>
            <w:tcMar>
              <w:top w:w="57" w:type="dxa"/>
              <w:left w:w="284" w:type="dxa"/>
              <w:bottom w:w="57" w:type="dxa"/>
            </w:tcMar>
          </w:tcPr>
          <w:p w:rsidR="00271556" w:rsidRPr="004879F6" w:rsidRDefault="00271556" w:rsidP="00BE4DBF">
            <w:pPr>
              <w:spacing w:after="0"/>
              <w:ind w:left="-141"/>
              <w:jc w:val="center"/>
              <w:rPr>
                <w:rFonts w:ascii="Times New Roman" w:hAnsi="Times New Roman" w:cs="Times New Roman"/>
                <w:sz w:val="20"/>
              </w:rPr>
            </w:pPr>
            <w:r w:rsidRPr="004879F6">
              <w:rPr>
                <w:rFonts w:ascii="Times New Roman" w:hAnsi="Times New Roman" w:cs="Times New Roman"/>
                <w:sz w:val="20"/>
              </w:rPr>
              <w:t>10</w:t>
            </w: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20"/>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Entscheidungsfindung und Mitwirkung bei der endovaskulären Schlaganfalltherapie</w:t>
            </w:r>
          </w:p>
        </w:tc>
        <w:tc>
          <w:tcPr>
            <w:tcW w:w="1418" w:type="dxa"/>
            <w:shd w:val="clear" w:color="auto" w:fill="auto"/>
            <w:tcMar>
              <w:top w:w="57" w:type="dxa"/>
              <w:left w:w="284" w:type="dxa"/>
              <w:bottom w:w="57" w:type="dxa"/>
            </w:tcMar>
          </w:tcPr>
          <w:p w:rsidR="00271556" w:rsidRPr="004879F6" w:rsidRDefault="00271556" w:rsidP="00BE4DBF">
            <w:pPr>
              <w:spacing w:after="0"/>
              <w:ind w:left="-141"/>
              <w:jc w:val="center"/>
              <w:rPr>
                <w:rFonts w:ascii="Times New Roman" w:hAnsi="Times New Roman" w:cs="Times New Roman"/>
                <w:sz w:val="20"/>
              </w:rPr>
            </w:pP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20"/>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rPr>
              <w:t>Fachspezifische Interpretation der von Radiologinnen und Radiologen und Nuklearmedizinerinnen und Nuklearmedizinern erhobenen Bilder und Befunde</w:t>
            </w:r>
            <w:r w:rsidRPr="004879F6">
              <w:rPr>
                <w:rFonts w:ascii="Times New Roman" w:hAnsi="Times New Roman" w:cs="Times New Roman"/>
                <w:sz w:val="20"/>
                <w:szCs w:val="20"/>
              </w:rPr>
              <w:t xml:space="preserve"> inkl. Beurteilung der Gehirnschädigung im Rahmen der Indikationsstellung zur Thrombolyse</w:t>
            </w:r>
          </w:p>
        </w:tc>
        <w:tc>
          <w:tcPr>
            <w:tcW w:w="1418" w:type="dxa"/>
            <w:shd w:val="clear" w:color="auto" w:fill="auto"/>
            <w:tcMar>
              <w:top w:w="57" w:type="dxa"/>
              <w:left w:w="284" w:type="dxa"/>
              <w:bottom w:w="57" w:type="dxa"/>
            </w:tcMar>
          </w:tcPr>
          <w:p w:rsidR="00271556" w:rsidRPr="004879F6" w:rsidRDefault="00271556" w:rsidP="00BE4DBF">
            <w:pPr>
              <w:spacing w:after="0"/>
              <w:ind w:left="-141"/>
              <w:jc w:val="center"/>
              <w:rPr>
                <w:rFonts w:ascii="Times New Roman" w:hAnsi="Times New Roman" w:cs="Times New Roman"/>
                <w:sz w:val="20"/>
              </w:rPr>
            </w:pP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20"/>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Spezielle Verfahren der Neurosonographie</w:t>
            </w:r>
          </w:p>
        </w:tc>
        <w:tc>
          <w:tcPr>
            <w:tcW w:w="1418" w:type="dxa"/>
            <w:shd w:val="clear" w:color="auto" w:fill="auto"/>
            <w:tcMar>
              <w:top w:w="57" w:type="dxa"/>
              <w:left w:w="284" w:type="dxa"/>
              <w:bottom w:w="57" w:type="dxa"/>
            </w:tcMar>
          </w:tcPr>
          <w:p w:rsidR="00271556" w:rsidRPr="004879F6" w:rsidRDefault="00271556" w:rsidP="00BE4DBF">
            <w:pPr>
              <w:spacing w:after="0"/>
              <w:ind w:left="-141"/>
              <w:jc w:val="center"/>
              <w:rPr>
                <w:rFonts w:ascii="Times New Roman" w:hAnsi="Times New Roman" w:cs="Times New Roman"/>
                <w:sz w:val="20"/>
              </w:rPr>
            </w:pPr>
            <w:r w:rsidRPr="004879F6">
              <w:rPr>
                <w:rFonts w:ascii="Times New Roman" w:hAnsi="Times New Roman" w:cs="Times New Roman"/>
                <w:sz w:val="20"/>
              </w:rPr>
              <w:t>30</w:t>
            </w: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20"/>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Betreuung von Patientinnen und Patienten mit Schlaganfall in der Post-Akutphase</w:t>
            </w:r>
          </w:p>
        </w:tc>
        <w:tc>
          <w:tcPr>
            <w:tcW w:w="1418" w:type="dxa"/>
            <w:shd w:val="clear" w:color="auto" w:fill="auto"/>
            <w:tcMar>
              <w:top w:w="57" w:type="dxa"/>
              <w:left w:w="284" w:type="dxa"/>
              <w:bottom w:w="57" w:type="dxa"/>
            </w:tcMar>
          </w:tcPr>
          <w:p w:rsidR="00271556" w:rsidRPr="004879F6" w:rsidRDefault="00271556" w:rsidP="00BE4DBF">
            <w:pPr>
              <w:spacing w:after="0"/>
              <w:ind w:left="-141"/>
              <w:jc w:val="center"/>
              <w:rPr>
                <w:rFonts w:ascii="Times New Roman" w:hAnsi="Times New Roman" w:cs="Times New Roman"/>
                <w:sz w:val="20"/>
              </w:rPr>
            </w:pPr>
            <w:r w:rsidRPr="004879F6">
              <w:rPr>
                <w:rFonts w:ascii="Times New Roman" w:hAnsi="Times New Roman" w:cs="Times New Roman"/>
                <w:sz w:val="20"/>
              </w:rPr>
              <w:t>30</w:t>
            </w: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20"/>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Interdisziplinäres Management der wichtigsten kardiopulmonalen Komplikationen bei Schlaganfallpatientinnen und -patienten inkl. Notfallsituationen und Reanimation</w:t>
            </w:r>
          </w:p>
        </w:tc>
        <w:tc>
          <w:tcPr>
            <w:tcW w:w="1418" w:type="dxa"/>
            <w:shd w:val="clear" w:color="auto" w:fill="auto"/>
            <w:tcMar>
              <w:top w:w="57" w:type="dxa"/>
              <w:left w:w="284" w:type="dxa"/>
              <w:bottom w:w="57" w:type="dxa"/>
            </w:tcMar>
          </w:tcPr>
          <w:p w:rsidR="00271556" w:rsidRPr="004879F6" w:rsidRDefault="00271556" w:rsidP="00BE4DBF">
            <w:pPr>
              <w:spacing w:after="0"/>
              <w:ind w:left="-141"/>
              <w:jc w:val="center"/>
              <w:rPr>
                <w:rFonts w:ascii="Times New Roman" w:hAnsi="Times New Roman" w:cs="Times New Roman"/>
                <w:sz w:val="20"/>
              </w:rPr>
            </w:pP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20"/>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Interdisziplinäre medikamentöse Therapieentscheidungen der Komorbilität</w:t>
            </w:r>
          </w:p>
        </w:tc>
        <w:tc>
          <w:tcPr>
            <w:tcW w:w="1418" w:type="dxa"/>
            <w:shd w:val="clear" w:color="auto" w:fill="auto"/>
            <w:tcMar>
              <w:top w:w="57" w:type="dxa"/>
              <w:left w:w="284" w:type="dxa"/>
              <w:bottom w:w="57" w:type="dxa"/>
            </w:tcMar>
          </w:tcPr>
          <w:p w:rsidR="00271556" w:rsidRPr="004879F6" w:rsidRDefault="00271556" w:rsidP="00BE4DBF">
            <w:pPr>
              <w:spacing w:after="0"/>
              <w:ind w:left="-141"/>
              <w:jc w:val="center"/>
              <w:rPr>
                <w:rFonts w:ascii="Times New Roman" w:hAnsi="Times New Roman" w:cs="Times New Roman"/>
                <w:sz w:val="20"/>
              </w:rPr>
            </w:pPr>
          </w:p>
        </w:tc>
      </w:tr>
      <w:tr w:rsidR="00271556" w:rsidRPr="004879F6" w:rsidTr="00BE4DBF">
        <w:tc>
          <w:tcPr>
            <w:tcW w:w="7938" w:type="dxa"/>
            <w:shd w:val="clear" w:color="auto" w:fill="auto"/>
            <w:tcMar>
              <w:top w:w="57" w:type="dxa"/>
              <w:left w:w="284" w:type="dxa"/>
              <w:bottom w:w="57" w:type="dxa"/>
            </w:tcMar>
          </w:tcPr>
          <w:p w:rsidR="00271556" w:rsidRPr="004879F6" w:rsidRDefault="00271556" w:rsidP="00271556">
            <w:pPr>
              <w:numPr>
                <w:ilvl w:val="0"/>
                <w:numId w:val="20"/>
              </w:numPr>
              <w:spacing w:after="0" w:line="240" w:lineRule="auto"/>
              <w:ind w:left="425" w:hanging="425"/>
              <w:rPr>
                <w:rFonts w:ascii="Times New Roman" w:hAnsi="Times New Roman" w:cs="Times New Roman"/>
                <w:sz w:val="20"/>
                <w:szCs w:val="20"/>
              </w:rPr>
            </w:pPr>
            <w:r w:rsidRPr="004879F6">
              <w:rPr>
                <w:rFonts w:ascii="Times New Roman" w:hAnsi="Times New Roman" w:cs="Times New Roman"/>
                <w:sz w:val="20"/>
                <w:szCs w:val="20"/>
              </w:rPr>
              <w:t>Intensivmedizinisches Monitoring an der Stroke Unit und Indikationsstellung zu Langzeituntersuchungen für Rhythmusdiagnostik</w:t>
            </w:r>
          </w:p>
        </w:tc>
        <w:tc>
          <w:tcPr>
            <w:tcW w:w="1418" w:type="dxa"/>
            <w:shd w:val="clear" w:color="auto" w:fill="auto"/>
            <w:tcMar>
              <w:top w:w="57" w:type="dxa"/>
              <w:left w:w="284" w:type="dxa"/>
              <w:bottom w:w="57" w:type="dxa"/>
            </w:tcMar>
          </w:tcPr>
          <w:p w:rsidR="00271556" w:rsidRPr="004879F6" w:rsidRDefault="00271556" w:rsidP="00BE4DBF">
            <w:pPr>
              <w:spacing w:after="0"/>
              <w:ind w:left="-141"/>
              <w:jc w:val="center"/>
              <w:rPr>
                <w:rFonts w:ascii="Times New Roman" w:hAnsi="Times New Roman" w:cs="Times New Roman"/>
                <w:sz w:val="20"/>
              </w:rPr>
            </w:pPr>
          </w:p>
        </w:tc>
      </w:tr>
    </w:tbl>
    <w:p w:rsidR="0071468D" w:rsidRDefault="0071468D"/>
    <w:sectPr w:rsidR="0071468D">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556" w:rsidRDefault="00271556" w:rsidP="00271556">
      <w:pPr>
        <w:spacing w:after="0" w:line="240" w:lineRule="auto"/>
      </w:pPr>
      <w:r>
        <w:separator/>
      </w:r>
    </w:p>
  </w:endnote>
  <w:endnote w:type="continuationSeparator" w:id="0">
    <w:p w:rsidR="00271556" w:rsidRDefault="00271556" w:rsidP="00271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556" w:rsidRPr="00271556" w:rsidRDefault="00271556">
    <w:pPr>
      <w:pStyle w:val="Fuzeile"/>
      <w:rPr>
        <w:rFonts w:ascii="Times New Roman" w:hAnsi="Times New Roman" w:cs="Times New Roman"/>
        <w:sz w:val="18"/>
        <w:szCs w:val="18"/>
      </w:rPr>
    </w:pPr>
    <w:r w:rsidRPr="00271556">
      <w:rPr>
        <w:rFonts w:ascii="Times New Roman" w:hAnsi="Times New Roman" w:cs="Times New Roman"/>
        <w:sz w:val="18"/>
        <w:szCs w:val="18"/>
      </w:rPr>
      <w:t>ÄAO 2015, 3. N</w:t>
    </w:r>
    <w:r w:rsidR="00E1687B">
      <w:rPr>
        <w:rFonts w:ascii="Times New Roman" w:hAnsi="Times New Roman" w:cs="Times New Roman"/>
        <w:sz w:val="18"/>
        <w:szCs w:val="18"/>
      </w:rPr>
      <w:t>ov. KEF u RZ-V 2015, Version 1.</w:t>
    </w:r>
    <w:r w:rsidR="00AF3645">
      <w:rPr>
        <w:rFonts w:ascii="Times New Roman" w:hAnsi="Times New Roman" w:cs="Times New Roman"/>
        <w:sz w:val="18"/>
        <w:szCs w:val="18"/>
      </w:rPr>
      <w:t>3</w:t>
    </w:r>
    <w:r w:rsidRPr="00271556">
      <w:rPr>
        <w:rFonts w:ascii="Times New Roman" w:hAnsi="Times New Roman" w:cs="Times New Roman"/>
        <w:sz w:val="18"/>
        <w:szCs w:val="18"/>
      </w:rPr>
      <w:t xml:space="preserve">. für </w:t>
    </w:r>
    <w:r>
      <w:rPr>
        <w:rFonts w:ascii="Times New Roman" w:hAnsi="Times New Roman" w:cs="Times New Roman"/>
        <w:sz w:val="18"/>
        <w:szCs w:val="18"/>
      </w:rPr>
      <w:t>Ausbildungsbeginn ab 01.01.2020</w:t>
    </w:r>
    <w:r>
      <w:rPr>
        <w:rFonts w:ascii="Times New Roman" w:hAnsi="Times New Roman" w:cs="Times New Roman"/>
        <w:sz w:val="18"/>
        <w:szCs w:val="18"/>
      </w:rPr>
      <w:tab/>
    </w:r>
    <w:r w:rsidRPr="00271556">
      <w:rPr>
        <w:rFonts w:ascii="Times New Roman" w:hAnsi="Times New Roman" w:cs="Times New Roman"/>
        <w:sz w:val="18"/>
        <w:szCs w:val="18"/>
        <w:lang w:val="de-DE"/>
      </w:rPr>
      <w:t xml:space="preserve">Seite </w:t>
    </w:r>
    <w:r w:rsidRPr="00271556">
      <w:rPr>
        <w:rFonts w:ascii="Times New Roman" w:hAnsi="Times New Roman" w:cs="Times New Roman"/>
        <w:bCs/>
        <w:sz w:val="18"/>
        <w:szCs w:val="18"/>
      </w:rPr>
      <w:fldChar w:fldCharType="begin"/>
    </w:r>
    <w:r w:rsidRPr="00271556">
      <w:rPr>
        <w:rFonts w:ascii="Times New Roman" w:hAnsi="Times New Roman" w:cs="Times New Roman"/>
        <w:bCs/>
        <w:sz w:val="18"/>
        <w:szCs w:val="18"/>
      </w:rPr>
      <w:instrText>PAGE  \* Arabic  \* MERGEFORMAT</w:instrText>
    </w:r>
    <w:r w:rsidRPr="00271556">
      <w:rPr>
        <w:rFonts w:ascii="Times New Roman" w:hAnsi="Times New Roman" w:cs="Times New Roman"/>
        <w:bCs/>
        <w:sz w:val="18"/>
        <w:szCs w:val="18"/>
      </w:rPr>
      <w:fldChar w:fldCharType="separate"/>
    </w:r>
    <w:r w:rsidR="00AF3645" w:rsidRPr="00AF3645">
      <w:rPr>
        <w:rFonts w:ascii="Times New Roman" w:hAnsi="Times New Roman" w:cs="Times New Roman"/>
        <w:bCs/>
        <w:noProof/>
        <w:sz w:val="18"/>
        <w:szCs w:val="18"/>
        <w:lang w:val="de-DE"/>
      </w:rPr>
      <w:t>1</w:t>
    </w:r>
    <w:r w:rsidRPr="00271556">
      <w:rPr>
        <w:rFonts w:ascii="Times New Roman" w:hAnsi="Times New Roman" w:cs="Times New Roman"/>
        <w:bCs/>
        <w:sz w:val="18"/>
        <w:szCs w:val="18"/>
      </w:rPr>
      <w:fldChar w:fldCharType="end"/>
    </w:r>
    <w:r w:rsidRPr="00271556">
      <w:rPr>
        <w:rFonts w:ascii="Times New Roman" w:hAnsi="Times New Roman" w:cs="Times New Roman"/>
        <w:sz w:val="18"/>
        <w:szCs w:val="18"/>
        <w:lang w:val="de-DE"/>
      </w:rPr>
      <w:t xml:space="preserve"> von </w:t>
    </w:r>
    <w:r w:rsidRPr="00271556">
      <w:rPr>
        <w:rFonts w:ascii="Times New Roman" w:hAnsi="Times New Roman" w:cs="Times New Roman"/>
        <w:bCs/>
        <w:sz w:val="18"/>
        <w:szCs w:val="18"/>
      </w:rPr>
      <w:fldChar w:fldCharType="begin"/>
    </w:r>
    <w:r w:rsidRPr="00271556">
      <w:rPr>
        <w:rFonts w:ascii="Times New Roman" w:hAnsi="Times New Roman" w:cs="Times New Roman"/>
        <w:bCs/>
        <w:sz w:val="18"/>
        <w:szCs w:val="18"/>
      </w:rPr>
      <w:instrText>NUMPAGES  \* Arabic  \* MERGEFORMAT</w:instrText>
    </w:r>
    <w:r w:rsidRPr="00271556">
      <w:rPr>
        <w:rFonts w:ascii="Times New Roman" w:hAnsi="Times New Roman" w:cs="Times New Roman"/>
        <w:bCs/>
        <w:sz w:val="18"/>
        <w:szCs w:val="18"/>
      </w:rPr>
      <w:fldChar w:fldCharType="separate"/>
    </w:r>
    <w:r w:rsidR="00AF3645" w:rsidRPr="00AF3645">
      <w:rPr>
        <w:rFonts w:ascii="Times New Roman" w:hAnsi="Times New Roman" w:cs="Times New Roman"/>
        <w:bCs/>
        <w:noProof/>
        <w:sz w:val="18"/>
        <w:szCs w:val="18"/>
        <w:lang w:val="de-DE"/>
      </w:rPr>
      <w:t>10</w:t>
    </w:r>
    <w:r w:rsidRPr="00271556">
      <w:rPr>
        <w:rFonts w:ascii="Times New Roman" w:hAnsi="Times New Roman" w:cs="Times New Roman"/>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556" w:rsidRDefault="00271556" w:rsidP="00271556">
      <w:pPr>
        <w:spacing w:after="0" w:line="240" w:lineRule="auto"/>
      </w:pPr>
      <w:r>
        <w:separator/>
      </w:r>
    </w:p>
  </w:footnote>
  <w:footnote w:type="continuationSeparator" w:id="0">
    <w:p w:rsidR="00271556" w:rsidRDefault="00271556" w:rsidP="002715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1A6"/>
    <w:multiLevelType w:val="hybridMultilevel"/>
    <w:tmpl w:val="EE7EEBCE"/>
    <w:lvl w:ilvl="0" w:tplc="F18073CE">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85B3B41"/>
    <w:multiLevelType w:val="hybridMultilevel"/>
    <w:tmpl w:val="F93AAC2E"/>
    <w:lvl w:ilvl="0" w:tplc="A05C76A4">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E3831F8"/>
    <w:multiLevelType w:val="hybridMultilevel"/>
    <w:tmpl w:val="64DA5C04"/>
    <w:lvl w:ilvl="0" w:tplc="B7862F7C">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2CF368D"/>
    <w:multiLevelType w:val="hybridMultilevel"/>
    <w:tmpl w:val="0C323ED2"/>
    <w:lvl w:ilvl="0" w:tplc="5FC0B7F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6422914"/>
    <w:multiLevelType w:val="hybridMultilevel"/>
    <w:tmpl w:val="416E66EC"/>
    <w:lvl w:ilvl="0" w:tplc="2FFC3268">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36E5B60"/>
    <w:multiLevelType w:val="hybridMultilevel"/>
    <w:tmpl w:val="62E08528"/>
    <w:lvl w:ilvl="0" w:tplc="D866412A">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27680919"/>
    <w:multiLevelType w:val="hybridMultilevel"/>
    <w:tmpl w:val="55065E7C"/>
    <w:lvl w:ilvl="0" w:tplc="85D47F84">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B5B06A0"/>
    <w:multiLevelType w:val="hybridMultilevel"/>
    <w:tmpl w:val="9EA0D4A2"/>
    <w:lvl w:ilvl="0" w:tplc="4C8E63AC">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DB005CD"/>
    <w:multiLevelType w:val="hybridMultilevel"/>
    <w:tmpl w:val="5114FBBA"/>
    <w:lvl w:ilvl="0" w:tplc="9DDEBBAC">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2F2B30BD"/>
    <w:multiLevelType w:val="hybridMultilevel"/>
    <w:tmpl w:val="209A20C2"/>
    <w:lvl w:ilvl="0" w:tplc="88C206C6">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2D30929"/>
    <w:multiLevelType w:val="hybridMultilevel"/>
    <w:tmpl w:val="40CA031E"/>
    <w:lvl w:ilvl="0" w:tplc="32566C9E">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76C591E"/>
    <w:multiLevelType w:val="hybridMultilevel"/>
    <w:tmpl w:val="5560DD76"/>
    <w:lvl w:ilvl="0" w:tplc="2FD686F8">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8FE77CD"/>
    <w:multiLevelType w:val="hybridMultilevel"/>
    <w:tmpl w:val="6D9C5C5E"/>
    <w:lvl w:ilvl="0" w:tplc="074E7C92">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49342365"/>
    <w:multiLevelType w:val="hybridMultilevel"/>
    <w:tmpl w:val="34B8ED14"/>
    <w:lvl w:ilvl="0" w:tplc="8222E0A4">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4BEF5C6E"/>
    <w:multiLevelType w:val="hybridMultilevel"/>
    <w:tmpl w:val="4D7E396C"/>
    <w:lvl w:ilvl="0" w:tplc="0E08CAB8">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57B20219"/>
    <w:multiLevelType w:val="hybridMultilevel"/>
    <w:tmpl w:val="6E564A0C"/>
    <w:lvl w:ilvl="0" w:tplc="0C070001">
      <w:start w:val="1"/>
      <w:numFmt w:val="bullet"/>
      <w:lvlText w:val=""/>
      <w:lvlJc w:val="left"/>
      <w:pPr>
        <w:ind w:left="1135" w:hanging="360"/>
      </w:pPr>
      <w:rPr>
        <w:rFonts w:ascii="Symbol" w:hAnsi="Symbol" w:hint="default"/>
      </w:rPr>
    </w:lvl>
    <w:lvl w:ilvl="1" w:tplc="0C070003" w:tentative="1">
      <w:start w:val="1"/>
      <w:numFmt w:val="bullet"/>
      <w:lvlText w:val="o"/>
      <w:lvlJc w:val="left"/>
      <w:pPr>
        <w:ind w:left="1855" w:hanging="360"/>
      </w:pPr>
      <w:rPr>
        <w:rFonts w:ascii="Courier New" w:hAnsi="Courier New" w:cs="Courier New" w:hint="default"/>
      </w:rPr>
    </w:lvl>
    <w:lvl w:ilvl="2" w:tplc="0C070005" w:tentative="1">
      <w:start w:val="1"/>
      <w:numFmt w:val="bullet"/>
      <w:lvlText w:val=""/>
      <w:lvlJc w:val="left"/>
      <w:pPr>
        <w:ind w:left="2575" w:hanging="360"/>
      </w:pPr>
      <w:rPr>
        <w:rFonts w:ascii="Wingdings" w:hAnsi="Wingdings" w:hint="default"/>
      </w:rPr>
    </w:lvl>
    <w:lvl w:ilvl="3" w:tplc="0C070001" w:tentative="1">
      <w:start w:val="1"/>
      <w:numFmt w:val="bullet"/>
      <w:lvlText w:val=""/>
      <w:lvlJc w:val="left"/>
      <w:pPr>
        <w:ind w:left="3295" w:hanging="360"/>
      </w:pPr>
      <w:rPr>
        <w:rFonts w:ascii="Symbol" w:hAnsi="Symbol" w:hint="default"/>
      </w:rPr>
    </w:lvl>
    <w:lvl w:ilvl="4" w:tplc="0C070003" w:tentative="1">
      <w:start w:val="1"/>
      <w:numFmt w:val="bullet"/>
      <w:lvlText w:val="o"/>
      <w:lvlJc w:val="left"/>
      <w:pPr>
        <w:ind w:left="4015" w:hanging="360"/>
      </w:pPr>
      <w:rPr>
        <w:rFonts w:ascii="Courier New" w:hAnsi="Courier New" w:cs="Courier New" w:hint="default"/>
      </w:rPr>
    </w:lvl>
    <w:lvl w:ilvl="5" w:tplc="0C070005" w:tentative="1">
      <w:start w:val="1"/>
      <w:numFmt w:val="bullet"/>
      <w:lvlText w:val=""/>
      <w:lvlJc w:val="left"/>
      <w:pPr>
        <w:ind w:left="4735" w:hanging="360"/>
      </w:pPr>
      <w:rPr>
        <w:rFonts w:ascii="Wingdings" w:hAnsi="Wingdings" w:hint="default"/>
      </w:rPr>
    </w:lvl>
    <w:lvl w:ilvl="6" w:tplc="0C070001" w:tentative="1">
      <w:start w:val="1"/>
      <w:numFmt w:val="bullet"/>
      <w:lvlText w:val=""/>
      <w:lvlJc w:val="left"/>
      <w:pPr>
        <w:ind w:left="5455" w:hanging="360"/>
      </w:pPr>
      <w:rPr>
        <w:rFonts w:ascii="Symbol" w:hAnsi="Symbol" w:hint="default"/>
      </w:rPr>
    </w:lvl>
    <w:lvl w:ilvl="7" w:tplc="0C070003" w:tentative="1">
      <w:start w:val="1"/>
      <w:numFmt w:val="bullet"/>
      <w:lvlText w:val="o"/>
      <w:lvlJc w:val="left"/>
      <w:pPr>
        <w:ind w:left="6175" w:hanging="360"/>
      </w:pPr>
      <w:rPr>
        <w:rFonts w:ascii="Courier New" w:hAnsi="Courier New" w:cs="Courier New" w:hint="default"/>
      </w:rPr>
    </w:lvl>
    <w:lvl w:ilvl="8" w:tplc="0C070005" w:tentative="1">
      <w:start w:val="1"/>
      <w:numFmt w:val="bullet"/>
      <w:lvlText w:val=""/>
      <w:lvlJc w:val="left"/>
      <w:pPr>
        <w:ind w:left="6895" w:hanging="360"/>
      </w:pPr>
      <w:rPr>
        <w:rFonts w:ascii="Wingdings" w:hAnsi="Wingdings" w:hint="default"/>
      </w:rPr>
    </w:lvl>
  </w:abstractNum>
  <w:abstractNum w:abstractNumId="16" w15:restartNumberingAfterBreak="0">
    <w:nsid w:val="598E67BB"/>
    <w:multiLevelType w:val="hybridMultilevel"/>
    <w:tmpl w:val="97AE6094"/>
    <w:lvl w:ilvl="0" w:tplc="0C070001">
      <w:start w:val="1"/>
      <w:numFmt w:val="bullet"/>
      <w:lvlText w:val=""/>
      <w:lvlJc w:val="left"/>
      <w:pPr>
        <w:ind w:left="1135" w:hanging="360"/>
      </w:pPr>
      <w:rPr>
        <w:rFonts w:ascii="Symbol" w:hAnsi="Symbol" w:hint="default"/>
      </w:rPr>
    </w:lvl>
    <w:lvl w:ilvl="1" w:tplc="0C070003" w:tentative="1">
      <w:start w:val="1"/>
      <w:numFmt w:val="bullet"/>
      <w:lvlText w:val="o"/>
      <w:lvlJc w:val="left"/>
      <w:pPr>
        <w:ind w:left="1855" w:hanging="360"/>
      </w:pPr>
      <w:rPr>
        <w:rFonts w:ascii="Courier New" w:hAnsi="Courier New" w:cs="Courier New" w:hint="default"/>
      </w:rPr>
    </w:lvl>
    <w:lvl w:ilvl="2" w:tplc="0C070005" w:tentative="1">
      <w:start w:val="1"/>
      <w:numFmt w:val="bullet"/>
      <w:lvlText w:val=""/>
      <w:lvlJc w:val="left"/>
      <w:pPr>
        <w:ind w:left="2575" w:hanging="360"/>
      </w:pPr>
      <w:rPr>
        <w:rFonts w:ascii="Wingdings" w:hAnsi="Wingdings" w:hint="default"/>
      </w:rPr>
    </w:lvl>
    <w:lvl w:ilvl="3" w:tplc="0C070001" w:tentative="1">
      <w:start w:val="1"/>
      <w:numFmt w:val="bullet"/>
      <w:lvlText w:val=""/>
      <w:lvlJc w:val="left"/>
      <w:pPr>
        <w:ind w:left="3295" w:hanging="360"/>
      </w:pPr>
      <w:rPr>
        <w:rFonts w:ascii="Symbol" w:hAnsi="Symbol" w:hint="default"/>
      </w:rPr>
    </w:lvl>
    <w:lvl w:ilvl="4" w:tplc="0C070003" w:tentative="1">
      <w:start w:val="1"/>
      <w:numFmt w:val="bullet"/>
      <w:lvlText w:val="o"/>
      <w:lvlJc w:val="left"/>
      <w:pPr>
        <w:ind w:left="4015" w:hanging="360"/>
      </w:pPr>
      <w:rPr>
        <w:rFonts w:ascii="Courier New" w:hAnsi="Courier New" w:cs="Courier New" w:hint="default"/>
      </w:rPr>
    </w:lvl>
    <w:lvl w:ilvl="5" w:tplc="0C070005" w:tentative="1">
      <w:start w:val="1"/>
      <w:numFmt w:val="bullet"/>
      <w:lvlText w:val=""/>
      <w:lvlJc w:val="left"/>
      <w:pPr>
        <w:ind w:left="4735" w:hanging="360"/>
      </w:pPr>
      <w:rPr>
        <w:rFonts w:ascii="Wingdings" w:hAnsi="Wingdings" w:hint="default"/>
      </w:rPr>
    </w:lvl>
    <w:lvl w:ilvl="6" w:tplc="0C070001" w:tentative="1">
      <w:start w:val="1"/>
      <w:numFmt w:val="bullet"/>
      <w:lvlText w:val=""/>
      <w:lvlJc w:val="left"/>
      <w:pPr>
        <w:ind w:left="5455" w:hanging="360"/>
      </w:pPr>
      <w:rPr>
        <w:rFonts w:ascii="Symbol" w:hAnsi="Symbol" w:hint="default"/>
      </w:rPr>
    </w:lvl>
    <w:lvl w:ilvl="7" w:tplc="0C070003" w:tentative="1">
      <w:start w:val="1"/>
      <w:numFmt w:val="bullet"/>
      <w:lvlText w:val="o"/>
      <w:lvlJc w:val="left"/>
      <w:pPr>
        <w:ind w:left="6175" w:hanging="360"/>
      </w:pPr>
      <w:rPr>
        <w:rFonts w:ascii="Courier New" w:hAnsi="Courier New" w:cs="Courier New" w:hint="default"/>
      </w:rPr>
    </w:lvl>
    <w:lvl w:ilvl="8" w:tplc="0C070005" w:tentative="1">
      <w:start w:val="1"/>
      <w:numFmt w:val="bullet"/>
      <w:lvlText w:val=""/>
      <w:lvlJc w:val="left"/>
      <w:pPr>
        <w:ind w:left="6895" w:hanging="360"/>
      </w:pPr>
      <w:rPr>
        <w:rFonts w:ascii="Wingdings" w:hAnsi="Wingdings" w:hint="default"/>
      </w:rPr>
    </w:lvl>
  </w:abstractNum>
  <w:abstractNum w:abstractNumId="17" w15:restartNumberingAfterBreak="0">
    <w:nsid w:val="5A5D643C"/>
    <w:multiLevelType w:val="hybridMultilevel"/>
    <w:tmpl w:val="2716021A"/>
    <w:lvl w:ilvl="0" w:tplc="01428EDA">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5C237405"/>
    <w:multiLevelType w:val="hybridMultilevel"/>
    <w:tmpl w:val="5582F26E"/>
    <w:lvl w:ilvl="0" w:tplc="ED625BD6">
      <w:start w:val="8"/>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5C270464"/>
    <w:multiLevelType w:val="hybridMultilevel"/>
    <w:tmpl w:val="5E74E8B4"/>
    <w:lvl w:ilvl="0" w:tplc="E5D838DC">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603058F4"/>
    <w:multiLevelType w:val="hybridMultilevel"/>
    <w:tmpl w:val="8EACF2D0"/>
    <w:lvl w:ilvl="0" w:tplc="1556F662">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6299457B"/>
    <w:multiLevelType w:val="hybridMultilevel"/>
    <w:tmpl w:val="5E74E8B4"/>
    <w:lvl w:ilvl="0" w:tplc="E5D838DC">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6B36433E"/>
    <w:multiLevelType w:val="hybridMultilevel"/>
    <w:tmpl w:val="ED86D7DE"/>
    <w:lvl w:ilvl="0" w:tplc="910AAD74">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749A1655"/>
    <w:multiLevelType w:val="hybridMultilevel"/>
    <w:tmpl w:val="F3D83E44"/>
    <w:lvl w:ilvl="0" w:tplc="4C942078">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75093E80"/>
    <w:multiLevelType w:val="hybridMultilevel"/>
    <w:tmpl w:val="0EE25492"/>
    <w:lvl w:ilvl="0" w:tplc="0C070001">
      <w:start w:val="1"/>
      <w:numFmt w:val="bullet"/>
      <w:lvlText w:val=""/>
      <w:lvlJc w:val="left"/>
      <w:pPr>
        <w:ind w:left="1145" w:hanging="360"/>
      </w:pPr>
      <w:rPr>
        <w:rFonts w:ascii="Symbol" w:hAnsi="Symbol" w:hint="default"/>
      </w:rPr>
    </w:lvl>
    <w:lvl w:ilvl="1" w:tplc="0C070003" w:tentative="1">
      <w:start w:val="1"/>
      <w:numFmt w:val="bullet"/>
      <w:lvlText w:val="o"/>
      <w:lvlJc w:val="left"/>
      <w:pPr>
        <w:ind w:left="1865" w:hanging="360"/>
      </w:pPr>
      <w:rPr>
        <w:rFonts w:ascii="Courier New" w:hAnsi="Courier New" w:cs="Courier New" w:hint="default"/>
      </w:rPr>
    </w:lvl>
    <w:lvl w:ilvl="2" w:tplc="0C070005" w:tentative="1">
      <w:start w:val="1"/>
      <w:numFmt w:val="bullet"/>
      <w:lvlText w:val=""/>
      <w:lvlJc w:val="left"/>
      <w:pPr>
        <w:ind w:left="2585" w:hanging="360"/>
      </w:pPr>
      <w:rPr>
        <w:rFonts w:ascii="Wingdings" w:hAnsi="Wingdings" w:hint="default"/>
      </w:rPr>
    </w:lvl>
    <w:lvl w:ilvl="3" w:tplc="0C070001" w:tentative="1">
      <w:start w:val="1"/>
      <w:numFmt w:val="bullet"/>
      <w:lvlText w:val=""/>
      <w:lvlJc w:val="left"/>
      <w:pPr>
        <w:ind w:left="3305" w:hanging="360"/>
      </w:pPr>
      <w:rPr>
        <w:rFonts w:ascii="Symbol" w:hAnsi="Symbol" w:hint="default"/>
      </w:rPr>
    </w:lvl>
    <w:lvl w:ilvl="4" w:tplc="0C070003" w:tentative="1">
      <w:start w:val="1"/>
      <w:numFmt w:val="bullet"/>
      <w:lvlText w:val="o"/>
      <w:lvlJc w:val="left"/>
      <w:pPr>
        <w:ind w:left="4025" w:hanging="360"/>
      </w:pPr>
      <w:rPr>
        <w:rFonts w:ascii="Courier New" w:hAnsi="Courier New" w:cs="Courier New" w:hint="default"/>
      </w:rPr>
    </w:lvl>
    <w:lvl w:ilvl="5" w:tplc="0C070005" w:tentative="1">
      <w:start w:val="1"/>
      <w:numFmt w:val="bullet"/>
      <w:lvlText w:val=""/>
      <w:lvlJc w:val="left"/>
      <w:pPr>
        <w:ind w:left="4745" w:hanging="360"/>
      </w:pPr>
      <w:rPr>
        <w:rFonts w:ascii="Wingdings" w:hAnsi="Wingdings" w:hint="default"/>
      </w:rPr>
    </w:lvl>
    <w:lvl w:ilvl="6" w:tplc="0C070001" w:tentative="1">
      <w:start w:val="1"/>
      <w:numFmt w:val="bullet"/>
      <w:lvlText w:val=""/>
      <w:lvlJc w:val="left"/>
      <w:pPr>
        <w:ind w:left="5465" w:hanging="360"/>
      </w:pPr>
      <w:rPr>
        <w:rFonts w:ascii="Symbol" w:hAnsi="Symbol" w:hint="default"/>
      </w:rPr>
    </w:lvl>
    <w:lvl w:ilvl="7" w:tplc="0C070003" w:tentative="1">
      <w:start w:val="1"/>
      <w:numFmt w:val="bullet"/>
      <w:lvlText w:val="o"/>
      <w:lvlJc w:val="left"/>
      <w:pPr>
        <w:ind w:left="6185" w:hanging="360"/>
      </w:pPr>
      <w:rPr>
        <w:rFonts w:ascii="Courier New" w:hAnsi="Courier New" w:cs="Courier New" w:hint="default"/>
      </w:rPr>
    </w:lvl>
    <w:lvl w:ilvl="8" w:tplc="0C070005" w:tentative="1">
      <w:start w:val="1"/>
      <w:numFmt w:val="bullet"/>
      <w:lvlText w:val=""/>
      <w:lvlJc w:val="left"/>
      <w:pPr>
        <w:ind w:left="6905" w:hanging="360"/>
      </w:pPr>
      <w:rPr>
        <w:rFonts w:ascii="Wingdings" w:hAnsi="Wingdings" w:hint="default"/>
      </w:rPr>
    </w:lvl>
  </w:abstractNum>
  <w:abstractNum w:abstractNumId="25" w15:restartNumberingAfterBreak="0">
    <w:nsid w:val="751F64D9"/>
    <w:multiLevelType w:val="hybridMultilevel"/>
    <w:tmpl w:val="5AF283AC"/>
    <w:lvl w:ilvl="0" w:tplc="0C070001">
      <w:start w:val="1"/>
      <w:numFmt w:val="bullet"/>
      <w:lvlText w:val=""/>
      <w:lvlJc w:val="left"/>
      <w:pPr>
        <w:ind w:left="1145" w:hanging="360"/>
      </w:pPr>
      <w:rPr>
        <w:rFonts w:ascii="Symbol" w:hAnsi="Symbol" w:hint="default"/>
      </w:rPr>
    </w:lvl>
    <w:lvl w:ilvl="1" w:tplc="0C070003" w:tentative="1">
      <w:start w:val="1"/>
      <w:numFmt w:val="bullet"/>
      <w:lvlText w:val="o"/>
      <w:lvlJc w:val="left"/>
      <w:pPr>
        <w:ind w:left="1865" w:hanging="360"/>
      </w:pPr>
      <w:rPr>
        <w:rFonts w:ascii="Courier New" w:hAnsi="Courier New" w:cs="Courier New" w:hint="default"/>
      </w:rPr>
    </w:lvl>
    <w:lvl w:ilvl="2" w:tplc="0C070005" w:tentative="1">
      <w:start w:val="1"/>
      <w:numFmt w:val="bullet"/>
      <w:lvlText w:val=""/>
      <w:lvlJc w:val="left"/>
      <w:pPr>
        <w:ind w:left="2585" w:hanging="360"/>
      </w:pPr>
      <w:rPr>
        <w:rFonts w:ascii="Wingdings" w:hAnsi="Wingdings" w:hint="default"/>
      </w:rPr>
    </w:lvl>
    <w:lvl w:ilvl="3" w:tplc="0C070001" w:tentative="1">
      <w:start w:val="1"/>
      <w:numFmt w:val="bullet"/>
      <w:lvlText w:val=""/>
      <w:lvlJc w:val="left"/>
      <w:pPr>
        <w:ind w:left="3305" w:hanging="360"/>
      </w:pPr>
      <w:rPr>
        <w:rFonts w:ascii="Symbol" w:hAnsi="Symbol" w:hint="default"/>
      </w:rPr>
    </w:lvl>
    <w:lvl w:ilvl="4" w:tplc="0C070003" w:tentative="1">
      <w:start w:val="1"/>
      <w:numFmt w:val="bullet"/>
      <w:lvlText w:val="o"/>
      <w:lvlJc w:val="left"/>
      <w:pPr>
        <w:ind w:left="4025" w:hanging="360"/>
      </w:pPr>
      <w:rPr>
        <w:rFonts w:ascii="Courier New" w:hAnsi="Courier New" w:cs="Courier New" w:hint="default"/>
      </w:rPr>
    </w:lvl>
    <w:lvl w:ilvl="5" w:tplc="0C070005" w:tentative="1">
      <w:start w:val="1"/>
      <w:numFmt w:val="bullet"/>
      <w:lvlText w:val=""/>
      <w:lvlJc w:val="left"/>
      <w:pPr>
        <w:ind w:left="4745" w:hanging="360"/>
      </w:pPr>
      <w:rPr>
        <w:rFonts w:ascii="Wingdings" w:hAnsi="Wingdings" w:hint="default"/>
      </w:rPr>
    </w:lvl>
    <w:lvl w:ilvl="6" w:tplc="0C070001" w:tentative="1">
      <w:start w:val="1"/>
      <w:numFmt w:val="bullet"/>
      <w:lvlText w:val=""/>
      <w:lvlJc w:val="left"/>
      <w:pPr>
        <w:ind w:left="5465" w:hanging="360"/>
      </w:pPr>
      <w:rPr>
        <w:rFonts w:ascii="Symbol" w:hAnsi="Symbol" w:hint="default"/>
      </w:rPr>
    </w:lvl>
    <w:lvl w:ilvl="7" w:tplc="0C070003" w:tentative="1">
      <w:start w:val="1"/>
      <w:numFmt w:val="bullet"/>
      <w:lvlText w:val="o"/>
      <w:lvlJc w:val="left"/>
      <w:pPr>
        <w:ind w:left="6185" w:hanging="360"/>
      </w:pPr>
      <w:rPr>
        <w:rFonts w:ascii="Courier New" w:hAnsi="Courier New" w:cs="Courier New" w:hint="default"/>
      </w:rPr>
    </w:lvl>
    <w:lvl w:ilvl="8" w:tplc="0C070005" w:tentative="1">
      <w:start w:val="1"/>
      <w:numFmt w:val="bullet"/>
      <w:lvlText w:val=""/>
      <w:lvlJc w:val="left"/>
      <w:pPr>
        <w:ind w:left="6905" w:hanging="360"/>
      </w:pPr>
      <w:rPr>
        <w:rFonts w:ascii="Wingdings" w:hAnsi="Wingdings" w:hint="default"/>
      </w:rPr>
    </w:lvl>
  </w:abstractNum>
  <w:num w:numId="1">
    <w:abstractNumId w:val="2"/>
  </w:num>
  <w:num w:numId="2">
    <w:abstractNumId w:val="14"/>
  </w:num>
  <w:num w:numId="3">
    <w:abstractNumId w:val="9"/>
  </w:num>
  <w:num w:numId="4">
    <w:abstractNumId w:val="10"/>
  </w:num>
  <w:num w:numId="5">
    <w:abstractNumId w:val="4"/>
  </w:num>
  <w:num w:numId="6">
    <w:abstractNumId w:val="6"/>
  </w:num>
  <w:num w:numId="7">
    <w:abstractNumId w:val="8"/>
  </w:num>
  <w:num w:numId="8">
    <w:abstractNumId w:val="19"/>
  </w:num>
  <w:num w:numId="9">
    <w:abstractNumId w:val="22"/>
  </w:num>
  <w:num w:numId="10">
    <w:abstractNumId w:val="11"/>
  </w:num>
  <w:num w:numId="11">
    <w:abstractNumId w:val="7"/>
  </w:num>
  <w:num w:numId="12">
    <w:abstractNumId w:val="23"/>
  </w:num>
  <w:num w:numId="13">
    <w:abstractNumId w:val="17"/>
  </w:num>
  <w:num w:numId="14">
    <w:abstractNumId w:val="20"/>
  </w:num>
  <w:num w:numId="15">
    <w:abstractNumId w:val="13"/>
  </w:num>
  <w:num w:numId="16">
    <w:abstractNumId w:val="1"/>
  </w:num>
  <w:num w:numId="17">
    <w:abstractNumId w:val="0"/>
  </w:num>
  <w:num w:numId="18">
    <w:abstractNumId w:val="5"/>
  </w:num>
  <w:num w:numId="19">
    <w:abstractNumId w:val="12"/>
  </w:num>
  <w:num w:numId="20">
    <w:abstractNumId w:val="3"/>
  </w:num>
  <w:num w:numId="21">
    <w:abstractNumId w:val="21"/>
  </w:num>
  <w:num w:numId="22">
    <w:abstractNumId w:val="24"/>
  </w:num>
  <w:num w:numId="23">
    <w:abstractNumId w:val="25"/>
  </w:num>
  <w:num w:numId="24">
    <w:abstractNumId w:val="16"/>
  </w:num>
  <w:num w:numId="25">
    <w:abstractNumId w:val="1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556"/>
    <w:rsid w:val="00271556"/>
    <w:rsid w:val="0071468D"/>
    <w:rsid w:val="00AF3645"/>
    <w:rsid w:val="00E1687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C01E"/>
  <w15:chartTrackingRefBased/>
  <w15:docId w15:val="{A9A10B91-CD6E-48F3-8F6D-DDE02E1A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155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7155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71556"/>
  </w:style>
  <w:style w:type="paragraph" w:styleId="Fuzeile">
    <w:name w:val="footer"/>
    <w:basedOn w:val="Standard"/>
    <w:link w:val="FuzeileZchn"/>
    <w:uiPriority w:val="99"/>
    <w:unhideWhenUsed/>
    <w:rsid w:val="0027155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71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2861</Words>
  <Characters>18025</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Maierhofer Sabine</dc:creator>
  <cp:keywords/>
  <dc:description/>
  <cp:lastModifiedBy>Maierhofer Sabine</cp:lastModifiedBy>
  <cp:revision>3</cp:revision>
  <dcterms:created xsi:type="dcterms:W3CDTF">2020-01-21T11:09:00Z</dcterms:created>
  <dcterms:modified xsi:type="dcterms:W3CDTF">2020-03-31T06:59:00Z</dcterms:modified>
</cp:coreProperties>
</file>