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A9" w:rsidRPr="004879F6" w:rsidRDefault="004D13A9" w:rsidP="004D13A9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17.1</w:t>
      </w:r>
    </w:p>
    <w:p w:rsidR="004D13A9" w:rsidRPr="004879F6" w:rsidRDefault="004D13A9" w:rsidP="004D13A9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Klinische Mikrobiologie und Hygiene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trike/>
          <w:sz w:val="20"/>
        </w:rPr>
      </w:pPr>
    </w:p>
    <w:p w:rsidR="004D13A9" w:rsidRPr="004879F6" w:rsidRDefault="004D13A9" w:rsidP="004D13A9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(36 Monate)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Bakteriologie/Mykologie/Parasitologie: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Bakteriologie/Mykologie/Parasitologie: Taxonomie und Genetik der medizinisch relevanten Erreger, Epidemiologie, Habitate von Mikroorganismen, opportunistische Krankheitserreger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Identifikation von Bakterien, Pilzen und Parasiten, Methoden und Anwendungsgebiete der molekularbiologischen Typisierung von Infektionserregern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Klinik und Pathogenese von Infektionen durch Bakterien, Mykobakterien, Pilze und Parasiten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Antibiotika, Antimykotika, Antiparasitika und anderen Antiinfektiva, Einsatz in Prophylaxe, empirischer und gezielter Therapie, Antiinfektivaresistenz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Virologie: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Virologie: Taxonomie und Genetik der medizinisch relevanten Erreger, Interaktion zwischen Wirt und Virus, Epidemiologie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Identifikation von Viren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Präanalytik: Indikationsstellung zur virologischen Untersuchung, Beratung, Materialauswahl, richtige Probenabnahme, Annahme- und Rückweisekriterien und Lagerung von Probenmaterial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Klinik und Pathogenese von Infektionen durch Viren, Krankheitsverläufe (Latenz, Persistenz, akute und chronische Virusinfektionen)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Wirkungsweise der aktiven und passiven Immunisierung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Virostatika, Einsatz in Prophylaxe, empirischer und gezielter Therapie, Resistenz gegen antivirale Medikamente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Überblick über Infektionswege und -quellen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Einsatz und Evaluierung von Aufbereitungsverfahren (Reinigung, Desinfektion, Sterilisation – manuelle und maschinelle Verfahren, chemische, chemothermische und thermische Verfahren)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Surveillance und Infektionsepidemiologie nosokomialer Infektionen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Interventionsmöglichkeiten bei Häufung nosokomialer Infektionen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bei Baumaßnahmen und vor Beschaffung von Medizinprodukten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Validierung von Aufbereitungsprozessen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Hygiene in Gesundheitseinrichtungen 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krankenhaushygienisch relevante Gesetze, Normen und Richtlinien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Umwelthygiene und öffentliche Gesundheit: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Allgemeine Grundlagen der Umwelthygiene, Lebensmittel-, Wasser- und Abwasserhygiene, Arbeits-, Betriebs- und Sozialhygiene, Präventivmedizin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Untersuchungsverfahren der Umwelthygiene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Rechtsvorschriften und Normen für die einzelnen Teilbereiche der Hygiene, insbesondere der Umwelt-, Lebensmittel-, Wasser- und Abwa</w:t>
            </w:r>
            <w:bookmarkStart w:id="0" w:name="_GoBack"/>
            <w:bookmarkEnd w:id="0"/>
            <w:r w:rsidRPr="004879F6">
              <w:rPr>
                <w:rFonts w:ascii="Times New Roman" w:hAnsi="Times New Roman" w:cs="Times New Roman"/>
                <w:sz w:val="20"/>
              </w:rPr>
              <w:t>sserhygiene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chemische und physikalische Umwelteinflüsse, chemische, physikalische, psychologische und soziale Noxen am Arbeitsplatz, mikrobielle und chemische Verunreinigungen von Wasser, Lebensmitteln und Luft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Krankheitsprävention, Gesundheitsförderung, Gesundheitssoziologie und -psychologie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des öffentlichen Gesundheitswesens (Aufgaben, Organisation)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Behördenverfahren, rechtliche Grundlagen der Gesundheitsvorsorge und der Infektionsprävention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Prophylaxe, Tropen- und Reisemedizin: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Immunabwehr bei Infektionen aller Altersgruppen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Tropen- und Reisemedizin 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Infektionsdiagnostik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antimikrobiellen Therapie inkl. therapiebegleitende Untersuchungen und Verlaufskontrollen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Infektionsepidemiologie, lokale/nationale/globale Resistenzsituation wichtiger Erreger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Umwelt- und arbeitsbedingte Risiken und Erkrankungen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Vorsorgemedizin und gesundheitliche Aufklärung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Patientinnen- und Patientensicherheit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Bakteriologie/Mykologie/Parasitologie: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851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der Bakteriologie/Mykologie/Parasitologie und der entsprechenden Infektdiagnostik: Taxonomie und Genetik der medizinisch relevanten Erreger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Epidemiologie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Habitate von Mikroorganismen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opportunistische Krankheitserreger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851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Prinzipien der Identifikation von Bakterien, Pilzen und Parasiten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Methoden und Anwendungsgebiete der molekularbiologischen Typisierung von Infektionserregern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851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851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Klinik und Pathogenese von Infektionen durch Bakterien, Mykobakterien, Pilze und Parasiten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851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Antibiotika, Antimykotika, Antiparasitika und anderen Antiinfektiva, Einsatz in Prophylaxe, empirischer und gezielter Therapie, Antiinfektivaresistenz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Virologie: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Taxonomie und Genetik der medizinisch relevanten Erreger, Interaktion zwischen Wirt und Virus, Epidemiologie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Identifikation von Viren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virologische Infektionsdiagnostik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Präanalytik: Indikationsstellung zur virologischen Untersuchung, Beratung, Materialauswahl, richtige Probenabnahme, Annahme- und Rückweisekriterien und Lagerung von Probenmaterial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Klinik und Pathogenese von Infektionen durch Viren, Krankheitsverläufe 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Wirkungsweise der aktiven und passiven Immunisierung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Virostatika, Einsatz in Prophylaxe, empirischer und gezielter Therapie, Resistenz gegen antivirale Medikamente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Überprüfung und Befundung von Verfahren zur Aufbereitung von Medizinprodukten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antimikrobiales </w:t>
            </w:r>
            <w:r w:rsidRPr="004879F6">
              <w:rPr>
                <w:rFonts w:ascii="Times New Roman" w:hAnsi="Times New Roman" w:cs="Times New Roman"/>
                <w:sz w:val="20"/>
              </w:rPr>
              <w:t>Stewardship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Mitwirkung an Stellungnahmen zu krankenhaushygienischen Fragestellungen</w:t>
            </w: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Umwelthygiene und Öffentliche Gesundheit: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1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hygienisch-mikrobiologische Untersuchung, Beurteilung und Begutachtung nicht-klinischer Proben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Spezifische Prophylaxe, Tropen- und Reisemedizin: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Überprüfung des Impferfolgs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Abklärung von Reiserückkehrerinnen und -rückkehrer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Labororganisation, Ressourcenmanagement, Qualitätsmanagement, fachspezifische Beratung und Teilnahme an Visiten bzw. Situationsbeurteilung vor Ort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Infektiologie: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Patientinnen und Patienten mit Infektionskrankheiten</w:t>
            </w:r>
          </w:p>
        </w:tc>
      </w:tr>
      <w:tr w:rsidR="004D13A9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</w:tbl>
    <w:p w:rsidR="004D13A9" w:rsidRPr="004879F6" w:rsidRDefault="004D13A9" w:rsidP="004D1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0"/>
        <w:gridCol w:w="1466"/>
      </w:tblGrid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Bakteriologie/Mykologie/Parasitologie: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Mikroskopie: Mikroskopier-, Färbe- und Messmethoden, Nachweis von Mikroorganismen durch verschiedene Nachweisverfahren in Untersuchungsproben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Anzucht von Bakterien und Pilzen auf verschiedenen Nährmedien, Identifizierung mittels morphologischer, biochemischer, immunologischer, molekularbiologischer und anderer Verfahren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Nachweis der Empfindlichkeit und Resistenz gegen Antibiotika, Antimykotika und anderer Antiinfektiva mit qualitativen und quantitativen Verfahren, mikrobiologischer, biochemischer und molekularbiologischer Nachweis von Resistenzmechanismen, Konzentrationsbestimmung von antimikrobiellen Substanzen aus Untersuchungsproben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Verfahren der bakteriologisch-mykologisch-parasitologischen Infektionsserologie und Infektionsimmunologie, direkter und indirekter Erregernachweis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Befunderstellung und Interpretation im Zusammenhang mit dem klinischen Bild, Therapieempfehlungen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Virologie: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Erhebung infektionsrelevanter Anamnesen, </w:t>
            </w: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fachspezifische Probengewinnung, Diagnostik und Befundinterpretation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qualitative und quantitative Verfahren der diagnostischen Virologie, Identifikation durch Antigennachweis mittels immunologischer Verfahren, Nukleinsäurenachweis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Verfahren der virologischen Infektionsserologie und Infektionsimmunologie, direkter und indirekter Erregernachweis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Beurteilung der Validität von Testergebnissen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Befunderstellung und Interpretation im Zusammenhang mit dem klinischen Bild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Empfehlungen betreffend die Infektionsprävention (aktive und passive Immunisierung) und die therapeutischen Möglichkeiten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Krankenhaushygiene: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und Aktualisierung eines allgemeinen Hygieneplans, z.B. Dialyse, Laborbereich – Desinfektionsplan und Ablaufpläne hygienisch relevanter Handlungen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Infektionserfassung (Surveillance)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epidemiologische Erfassung von und Intervention bei nosokomialen Infektionen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Ausbruchsabklärung und Ausbruchsmanagement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mikrobiologische Umgebungsuntersuchungen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Hygienemaßnahmen im Umgang mit Erkrankten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Spezifische Prophylaxe, Tropen- und Reisemedizin: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reisemedizinische Beratung (Expositions-, Dispositions-/Immun- und Chemoprophylaxe)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von Impfungen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Meldewesen und Meldepflicht von Infektionskrankheiten bzw. deren Erregern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Umgang mit biologischen Arbeitsstoffen (Risikoklassen), Labor- und Arbeitssicherheit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Infektiologie: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interdisziplinäre Abklärung bei Infektionsverdacht inkl. klinische Untersuchung sowie fachspezifische Interpretation von Befunden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Prophylaxe von Infektionskrankheiten sowie Mitwirkung bei deren Behandlung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Information und Kommunikation mit Patientinnen und Patienten und Angehörigen über Vorbereitung, Indikation, Durchführung und Risiken von Untersuchungen und Behandlungen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rPr>
          <w:cantSplit/>
        </w:trPr>
        <w:tc>
          <w:tcPr>
            <w:tcW w:w="779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3A9" w:rsidRPr="004879F6" w:rsidRDefault="004D13A9" w:rsidP="004D1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13A9" w:rsidRPr="004879F6" w:rsidRDefault="004D13A9" w:rsidP="004D1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(27 Monate)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D13A9" w:rsidRPr="004879F6" w:rsidRDefault="004D13A9" w:rsidP="004D13A9">
      <w:pPr>
        <w:spacing w:after="0"/>
        <w:jc w:val="center"/>
        <w:outlineLvl w:val="0"/>
        <w:rPr>
          <w:rFonts w:ascii="Times New Roman" w:hAnsi="Times New Roman" w:cs="Times New Roman"/>
          <w:b/>
          <w:strike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Modul 1: Bakteriologie/Mykologie/Parasitologie 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Testmethoden bei Erregern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Anzucht und Anreicherung von Erregern inkl. Anforderungen und Richtlinien mit dem Umgang mit biologischen Materialien und Mikroorganismen unterschiedlicher Risikoklassen, Laborsicherheit, Arbeitssicherheit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Labormanagement und Logistik bei einem Ausbruch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Testmethoden für Mykobakteriosen</w:t>
            </w:r>
          </w:p>
        </w:tc>
      </w:tr>
    </w:tbl>
    <w:p w:rsidR="004D13A9" w:rsidRPr="004879F6" w:rsidRDefault="004D13A9" w:rsidP="004D1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8"/>
        <w:gridCol w:w="1418"/>
      </w:tblGrid>
      <w:tr w:rsidR="004D13A9" w:rsidRPr="004879F6" w:rsidTr="00BE4DBF">
        <w:tc>
          <w:tcPr>
            <w:tcW w:w="810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D13A9" w:rsidRPr="004879F6" w:rsidTr="00BE4DBF">
        <w:tc>
          <w:tcPr>
            <w:tcW w:w="810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Spezifische Testmethoden medizinisch relevanter Bakterien inkl. schwer anzüchtbarer und seltener Erreger, molekularbiologischer Nachweis und Identifizierung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10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Spezifische Testmethoden für Hefen und Fadenpilze, deren Nachweis und Identifizierung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10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Spezifische Testmethoden für Parasiten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10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Befunderstellung</w:t>
            </w:r>
            <w:r w:rsidRPr="004879F6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 xml:space="preserve"> und Interpretation im Zusammenhang mit dem klinischen Bild, Therapieempfehlungen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3A9" w:rsidRPr="004879F6" w:rsidRDefault="004D13A9" w:rsidP="004D1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13A9" w:rsidRPr="004879F6" w:rsidRDefault="004D13A9" w:rsidP="004D13A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2: Angewandte Virologie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Testmethoden bei Viren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Anzucht und Anreicherung von Erregern in inkl. Anforderungen und Richtlinien mit dem Umgang, unterschiedliche Risikoklassen, Laborsicherheit, Arbeitssicherheit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Virusresistenztestungen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Labormanagement und Logistik bei einem Ausbruch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426"/>
      </w:tblGrid>
      <w:tr w:rsidR="004D13A9" w:rsidRPr="004879F6" w:rsidTr="00BE4DBF">
        <w:tc>
          <w:tcPr>
            <w:tcW w:w="805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D13A9" w:rsidRPr="004879F6" w:rsidTr="00BE4DBF">
        <w:tc>
          <w:tcPr>
            <w:tcW w:w="805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Spezifische Testmethoden medizinisch relevanter Viren, Nachweis und Identifizierung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5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Befunderstellung und Interpretation im Zusammenhang mit dem klinischen Bild, Therapieempfehlungen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3A9" w:rsidRPr="004879F6" w:rsidRDefault="004D13A9" w:rsidP="004D1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3: Krankenhaushygiene/Technische Hygiene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der Krankenhaushygiene und der technischen Hygiene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Nachweis von MRSA und anderen multiresistenten Erregern sowie andere nosokomiale Infektionserreger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Molekulargenetische Untersuchungsverfahren bei infektiologischen Fragestellungen, insbesondere im Rahmen der Ausbruchsabklärung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3"/>
        <w:gridCol w:w="1433"/>
      </w:tblGrid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Bauhygiene: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Hygienemaßnahmen bei Neu-, Zu- und Umbauten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Infektions-Surveillance sowie Auswertung epidemiologischer Erhebungen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Erreger- und Resistenzstatistiken (Mitwirkung bei der Erstellung eines Konzepts zur wirksamen Eindämmung von Erregerselektion und Resistenzentwicklungen)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 xml:space="preserve">Ausbruchsabklärung: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1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>MRSA und andere multiresistente Erreger sowie andere nosokomiale Infektionserreger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>Einsatz und Evaluierung von Hygienemaßnahmen am Krankenbett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>Technische Krankenhaushygiene: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Begutachtung von wasserhygienischen Prüfergebnissen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Beurteilung von raumlufttechnischen Anlagen in Krankenanstalten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Strukturierung und Ablauf der Aufbereitung sowie Validierung der Aufbereitung von Medizinprodukten in Gesundheitseinrichtungen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4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Begutachtung von technischen Prüfprotokollen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3A9" w:rsidRPr="004879F6" w:rsidRDefault="004D13A9" w:rsidP="004D1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4: Umwelthygiene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Überblick über Methoden der Gesundheitsberichterstattung und gesundheitsrelevante Datenbanken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von chemischen und physikalischen Umweltnoxen in verschiedenen Umweltmedien, Nachweis von umweltbedingten Erkrankungen und deren Behandlung, Erstellung von Umweltgutachten, Bau- und Wohnungshygiene, Begutachtung der Lärmbelastung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 von Methoden der Arbeitshygiene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Durchführung mikrobiologischer und chemischer Untersuchungen sowie Begutachtung von Trinkwasser, Badewasser, Abwasser, Lebensmitteln, Verzehrprodukten, Zusatzstoffen, kosmetischen Mitteln und Luft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 der Methoden zur Datenerhebung und -bewertung bei aktuellen Fragestellungen der Gesundheitsberichterstattung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1"/>
        <w:gridCol w:w="1405"/>
      </w:tblGrid>
      <w:tr w:rsidR="004D13A9" w:rsidRPr="004879F6" w:rsidTr="00BE4DBF">
        <w:tc>
          <w:tcPr>
            <w:tcW w:w="82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D13A9" w:rsidRPr="004879F6" w:rsidTr="00BE4DBF">
        <w:trPr>
          <w:trHeight w:val="739"/>
        </w:trPr>
        <w:tc>
          <w:tcPr>
            <w:tcW w:w="82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 von fachspezifischen Untersuchungsverfahren der Umwelthygiene sowie der Präventivmedizin inkl. Wohn- und Arbeitsumfeld sowie diverse Umweltmedien wie Luft, Wasser und Boden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2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 epidemiologischer Methoden betreffend nichtinfektiöser Krankheiten, Demographie, Statistik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3A9" w:rsidRPr="004879F6" w:rsidRDefault="004D13A9" w:rsidP="004D1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5: Reisemedizin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Epidemiologie von reiseassoziierten Gesundheitsstörungen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Erscheinungsbild, Pathogenese, Diagnostik, Therapie und Prävention von Tropenkrankheiten 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Reiseassoziierte Gesundheitsstörungen 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Grundlagen spezifischer reiseassoziierter Risiken 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Beratung und Betreuung von Reisenden mit spezifischen Bedürfnissen 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Sozial- und arbeitsmedizinische Aspekte von reiseassoziierten Gesundheitsstörungen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des internationalen Gesundheitswesens, internationale und nationale Rechtsvorschriften im Bereich des Impfwesens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</w:t>
            </w: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 xml:space="preserve"> Untersuchung bei und Therapie von Tropen- und anderen reiseassoziierten Krankheiten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7"/>
        <w:gridCol w:w="1429"/>
      </w:tblGrid>
      <w:tr w:rsidR="004D13A9" w:rsidRPr="004879F6" w:rsidTr="00BE4DBF">
        <w:tc>
          <w:tcPr>
            <w:tcW w:w="809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2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D13A9" w:rsidRPr="004879F6" w:rsidTr="00BE4DBF">
        <w:tc>
          <w:tcPr>
            <w:tcW w:w="809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Diagnostik von Reise- und Tropenkrankheiten</w:t>
            </w:r>
          </w:p>
        </w:tc>
        <w:tc>
          <w:tcPr>
            <w:tcW w:w="142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 w:eastAsia="hi-IN" w:bidi="hi-IN"/>
              </w:rPr>
              <w:t>Interdisziplinäre Feststellung der Reise- und Tropentauglichkeit</w:t>
            </w:r>
          </w:p>
        </w:tc>
        <w:tc>
          <w:tcPr>
            <w:tcW w:w="142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 w:eastAsia="hi-IN" w:bidi="hi-IN"/>
              </w:rPr>
              <w:t>Tropen- und reisemedizinische Betreuung während der Reise</w:t>
            </w:r>
          </w:p>
        </w:tc>
        <w:tc>
          <w:tcPr>
            <w:tcW w:w="142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3A9" w:rsidRPr="004879F6" w:rsidTr="00BE4DBF">
        <w:tc>
          <w:tcPr>
            <w:tcW w:w="809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 w:eastAsia="hi-IN" w:bidi="hi-IN"/>
              </w:rPr>
              <w:t>Mitwirkung bei der Abklärung von Erkrankungen von Reise- und Tropenrückkehrerinnen und -rückkehrern</w:t>
            </w:r>
          </w:p>
        </w:tc>
        <w:tc>
          <w:tcPr>
            <w:tcW w:w="142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3A9" w:rsidRPr="004879F6" w:rsidRDefault="004D13A9" w:rsidP="004D1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6: Klinische Mikrobiologie und Infektiologie</w:t>
      </w:r>
    </w:p>
    <w:p w:rsidR="004D13A9" w:rsidRPr="004879F6" w:rsidRDefault="004D13A9" w:rsidP="004D13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 w:eastAsia="hi-IN" w:bidi="hi-IN"/>
              </w:rPr>
              <w:t>Infektionsdiagnostik inkl. seltene Erreger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 w:eastAsia="hi-IN" w:bidi="hi-IN"/>
              </w:rPr>
              <w:t>Antimikrobielle Therapie und Prophylaxe inkl. Pharmakokinetik, Nebenwirkungen, Interaktionen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 w:eastAsia="hi-IN" w:bidi="hi-IN"/>
              </w:rPr>
              <w:t>Diagnostik und Therapie bei besonderen Patientinnen und Patientengruppen (Schwangere, Immunsupprimierte, Intensivpatientinnen und -patienten, geriatrische Patientinnen und Patienten)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Mitwirkung bei Visiten, Information und Kommunikation mit </w:t>
            </w:r>
            <w:r w:rsidRPr="004879F6">
              <w:rPr>
                <w:rFonts w:ascii="Times New Roman" w:hAnsi="Times New Roman" w:cs="Times New Roman"/>
                <w:sz w:val="20"/>
                <w:lang w:val="de-DE" w:eastAsia="hi-IN" w:bidi="hi-IN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betreffend mikrobiologische und infektiologische Erkrankungen</w:t>
            </w:r>
          </w:p>
        </w:tc>
      </w:tr>
      <w:tr w:rsidR="004D13A9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Kommunikation von Resistenzstatistiken, Antibiotic Stewardship</w:t>
            </w:r>
          </w:p>
        </w:tc>
      </w:tr>
    </w:tbl>
    <w:p w:rsidR="004D13A9" w:rsidRPr="004879F6" w:rsidRDefault="004D13A9" w:rsidP="004D13A9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7"/>
        <w:gridCol w:w="1429"/>
      </w:tblGrid>
      <w:tr w:rsidR="004D13A9" w:rsidRPr="004879F6" w:rsidTr="00BE4DBF">
        <w:tc>
          <w:tcPr>
            <w:tcW w:w="809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2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D13A9" w:rsidRPr="004879F6" w:rsidTr="00BE4DBF">
        <w:tc>
          <w:tcPr>
            <w:tcW w:w="809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4D13A9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Interdisziplinäre Abklärung bei Infektionsverdacht und Mitwirken bei Behandlung sowie Prophylaxe von Infektionskrankheiten </w:t>
            </w:r>
          </w:p>
        </w:tc>
        <w:tc>
          <w:tcPr>
            <w:tcW w:w="142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D13A9" w:rsidRPr="004879F6" w:rsidRDefault="004D13A9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3A9" w:rsidRPr="004879F6" w:rsidRDefault="004D13A9" w:rsidP="004D1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D13A9" w:rsidRPr="004879F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A9" w:rsidRDefault="004D13A9" w:rsidP="004D13A9">
      <w:pPr>
        <w:spacing w:after="0" w:line="240" w:lineRule="auto"/>
      </w:pPr>
      <w:r>
        <w:separator/>
      </w:r>
    </w:p>
  </w:endnote>
  <w:endnote w:type="continuationSeparator" w:id="0">
    <w:p w:rsidR="004D13A9" w:rsidRDefault="004D13A9" w:rsidP="004D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A9" w:rsidRPr="004D13A9" w:rsidRDefault="004D13A9">
    <w:pPr>
      <w:pStyle w:val="Fuzeile"/>
      <w:rPr>
        <w:rFonts w:ascii="Times New Roman" w:hAnsi="Times New Roman" w:cs="Times New Roman"/>
        <w:sz w:val="18"/>
        <w:szCs w:val="18"/>
      </w:rPr>
    </w:pPr>
    <w:r w:rsidRPr="004D13A9">
      <w:rPr>
        <w:rFonts w:ascii="Times New Roman" w:hAnsi="Times New Roman" w:cs="Times New Roman"/>
        <w:sz w:val="18"/>
        <w:szCs w:val="18"/>
      </w:rPr>
      <w:t>ÄAO 2015, 3. Nov. KEF u. RZ-V 2015, Version 1.</w:t>
    </w:r>
    <w:r w:rsidR="001E06DF">
      <w:rPr>
        <w:rFonts w:ascii="Times New Roman" w:hAnsi="Times New Roman" w:cs="Times New Roman"/>
        <w:sz w:val="18"/>
        <w:szCs w:val="18"/>
      </w:rPr>
      <w:t>3</w:t>
    </w:r>
    <w:r w:rsidR="00C06AA0">
      <w:rPr>
        <w:rFonts w:ascii="Times New Roman" w:hAnsi="Times New Roman" w:cs="Times New Roman"/>
        <w:sz w:val="18"/>
        <w:szCs w:val="18"/>
      </w:rPr>
      <w:t>.</w:t>
    </w:r>
    <w:r w:rsidRPr="004D13A9">
      <w:rPr>
        <w:rFonts w:ascii="Times New Roman" w:hAnsi="Times New Roman" w:cs="Times New Roman"/>
        <w:sz w:val="18"/>
        <w:szCs w:val="18"/>
      </w:rPr>
      <w:t xml:space="preserve"> für Ausbildungsbeginn ab </w:t>
    </w:r>
    <w:r>
      <w:rPr>
        <w:rFonts w:ascii="Times New Roman" w:hAnsi="Times New Roman" w:cs="Times New Roman"/>
        <w:sz w:val="18"/>
        <w:szCs w:val="18"/>
      </w:rPr>
      <w:t>01.01.2020</w:t>
    </w:r>
    <w:r>
      <w:rPr>
        <w:rFonts w:ascii="Times New Roman" w:hAnsi="Times New Roman" w:cs="Times New Roman"/>
        <w:sz w:val="18"/>
        <w:szCs w:val="18"/>
      </w:rPr>
      <w:tab/>
    </w:r>
    <w:r w:rsidRPr="004D13A9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4D13A9">
      <w:rPr>
        <w:rFonts w:ascii="Times New Roman" w:hAnsi="Times New Roman" w:cs="Times New Roman"/>
        <w:bCs/>
        <w:sz w:val="18"/>
        <w:szCs w:val="18"/>
      </w:rPr>
      <w:fldChar w:fldCharType="begin"/>
    </w:r>
    <w:r w:rsidRPr="004D13A9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4D13A9">
      <w:rPr>
        <w:rFonts w:ascii="Times New Roman" w:hAnsi="Times New Roman" w:cs="Times New Roman"/>
        <w:bCs/>
        <w:sz w:val="18"/>
        <w:szCs w:val="18"/>
      </w:rPr>
      <w:fldChar w:fldCharType="separate"/>
    </w:r>
    <w:r w:rsidR="001E06DF" w:rsidRPr="001E06DF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4D13A9">
      <w:rPr>
        <w:rFonts w:ascii="Times New Roman" w:hAnsi="Times New Roman" w:cs="Times New Roman"/>
        <w:bCs/>
        <w:sz w:val="18"/>
        <w:szCs w:val="18"/>
      </w:rPr>
      <w:fldChar w:fldCharType="end"/>
    </w:r>
    <w:r w:rsidRPr="004D13A9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4D13A9">
      <w:rPr>
        <w:rFonts w:ascii="Times New Roman" w:hAnsi="Times New Roman" w:cs="Times New Roman"/>
        <w:bCs/>
        <w:sz w:val="18"/>
        <w:szCs w:val="18"/>
      </w:rPr>
      <w:fldChar w:fldCharType="begin"/>
    </w:r>
    <w:r w:rsidRPr="004D13A9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4D13A9">
      <w:rPr>
        <w:rFonts w:ascii="Times New Roman" w:hAnsi="Times New Roman" w:cs="Times New Roman"/>
        <w:bCs/>
        <w:sz w:val="18"/>
        <w:szCs w:val="18"/>
      </w:rPr>
      <w:fldChar w:fldCharType="separate"/>
    </w:r>
    <w:r w:rsidR="001E06DF" w:rsidRPr="001E06DF">
      <w:rPr>
        <w:rFonts w:ascii="Times New Roman" w:hAnsi="Times New Roman" w:cs="Times New Roman"/>
        <w:bCs/>
        <w:noProof/>
        <w:sz w:val="18"/>
        <w:szCs w:val="18"/>
        <w:lang w:val="de-DE"/>
      </w:rPr>
      <w:t>10</w:t>
    </w:r>
    <w:r w:rsidRPr="004D13A9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A9" w:rsidRDefault="004D13A9" w:rsidP="004D13A9">
      <w:pPr>
        <w:spacing w:after="0" w:line="240" w:lineRule="auto"/>
      </w:pPr>
      <w:r>
        <w:separator/>
      </w:r>
    </w:p>
  </w:footnote>
  <w:footnote w:type="continuationSeparator" w:id="0">
    <w:p w:rsidR="004D13A9" w:rsidRDefault="004D13A9" w:rsidP="004D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F0"/>
    <w:multiLevelType w:val="hybridMultilevel"/>
    <w:tmpl w:val="9120F3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3D06"/>
    <w:multiLevelType w:val="hybridMultilevel"/>
    <w:tmpl w:val="93523D9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AF41C5"/>
    <w:multiLevelType w:val="hybridMultilevel"/>
    <w:tmpl w:val="ED16F1C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7CC57FE"/>
    <w:multiLevelType w:val="hybridMultilevel"/>
    <w:tmpl w:val="E43A41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4EBA"/>
    <w:multiLevelType w:val="hybridMultilevel"/>
    <w:tmpl w:val="F51010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2A9D"/>
    <w:multiLevelType w:val="hybridMultilevel"/>
    <w:tmpl w:val="E7C4FB60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ED7122B"/>
    <w:multiLevelType w:val="hybridMultilevel"/>
    <w:tmpl w:val="3AFC383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F2A03AB"/>
    <w:multiLevelType w:val="hybridMultilevel"/>
    <w:tmpl w:val="D64A6E6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F920AE2"/>
    <w:multiLevelType w:val="hybridMultilevel"/>
    <w:tmpl w:val="530690C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2074EFC"/>
    <w:multiLevelType w:val="hybridMultilevel"/>
    <w:tmpl w:val="A2DAEF3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2241122"/>
    <w:multiLevelType w:val="hybridMultilevel"/>
    <w:tmpl w:val="DDE2B36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F0463"/>
    <w:multiLevelType w:val="hybridMultilevel"/>
    <w:tmpl w:val="1700BF3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FB17202"/>
    <w:multiLevelType w:val="hybridMultilevel"/>
    <w:tmpl w:val="0E48638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08304D5"/>
    <w:multiLevelType w:val="hybridMultilevel"/>
    <w:tmpl w:val="0D6A0E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22508"/>
    <w:multiLevelType w:val="hybridMultilevel"/>
    <w:tmpl w:val="D4EE54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111D"/>
    <w:multiLevelType w:val="hybridMultilevel"/>
    <w:tmpl w:val="8D0A56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8041C"/>
    <w:multiLevelType w:val="hybridMultilevel"/>
    <w:tmpl w:val="A9FA79B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73442CD"/>
    <w:multiLevelType w:val="hybridMultilevel"/>
    <w:tmpl w:val="C8FAD9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B72DC"/>
    <w:multiLevelType w:val="hybridMultilevel"/>
    <w:tmpl w:val="4948C4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E66BE"/>
    <w:multiLevelType w:val="hybridMultilevel"/>
    <w:tmpl w:val="B28A01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F7600"/>
    <w:multiLevelType w:val="hybridMultilevel"/>
    <w:tmpl w:val="4D0C3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43255"/>
    <w:multiLevelType w:val="hybridMultilevel"/>
    <w:tmpl w:val="631A766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2C4B016E"/>
    <w:multiLevelType w:val="hybridMultilevel"/>
    <w:tmpl w:val="2526AC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9290A"/>
    <w:multiLevelType w:val="hybridMultilevel"/>
    <w:tmpl w:val="2C4EFAD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33061F40"/>
    <w:multiLevelType w:val="hybridMultilevel"/>
    <w:tmpl w:val="1C56682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35082189"/>
    <w:multiLevelType w:val="hybridMultilevel"/>
    <w:tmpl w:val="6E3EAE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376D5"/>
    <w:multiLevelType w:val="hybridMultilevel"/>
    <w:tmpl w:val="E66C78F0"/>
    <w:lvl w:ilvl="0" w:tplc="9078B27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60119"/>
    <w:multiLevelType w:val="hybridMultilevel"/>
    <w:tmpl w:val="B380E2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66BF3"/>
    <w:multiLevelType w:val="hybridMultilevel"/>
    <w:tmpl w:val="3BC2FA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C45E2"/>
    <w:multiLevelType w:val="hybridMultilevel"/>
    <w:tmpl w:val="4ECC67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81C0A"/>
    <w:multiLevelType w:val="hybridMultilevel"/>
    <w:tmpl w:val="A3A8FD4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9FD2DAB"/>
    <w:multiLevelType w:val="hybridMultilevel"/>
    <w:tmpl w:val="5664D09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C581C03"/>
    <w:multiLevelType w:val="hybridMultilevel"/>
    <w:tmpl w:val="CFC06E5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51614E0F"/>
    <w:multiLevelType w:val="hybridMultilevel"/>
    <w:tmpl w:val="9AEE3C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E5E0C"/>
    <w:multiLevelType w:val="hybridMultilevel"/>
    <w:tmpl w:val="5CA45D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143CC"/>
    <w:multiLevelType w:val="hybridMultilevel"/>
    <w:tmpl w:val="50D45AA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307545F"/>
    <w:multiLevelType w:val="hybridMultilevel"/>
    <w:tmpl w:val="0E96D93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4613728"/>
    <w:multiLevelType w:val="hybridMultilevel"/>
    <w:tmpl w:val="7BE8D6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2FAD"/>
    <w:multiLevelType w:val="hybridMultilevel"/>
    <w:tmpl w:val="914230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2E43"/>
    <w:multiLevelType w:val="hybridMultilevel"/>
    <w:tmpl w:val="11C4E6E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0147CC2"/>
    <w:multiLevelType w:val="hybridMultilevel"/>
    <w:tmpl w:val="F9A862C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115946"/>
    <w:multiLevelType w:val="hybridMultilevel"/>
    <w:tmpl w:val="1C58C57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20"/>
  </w:num>
  <w:num w:numId="4">
    <w:abstractNumId w:val="22"/>
  </w:num>
  <w:num w:numId="5">
    <w:abstractNumId w:val="37"/>
  </w:num>
  <w:num w:numId="6">
    <w:abstractNumId w:val="34"/>
  </w:num>
  <w:num w:numId="7">
    <w:abstractNumId w:val="26"/>
  </w:num>
  <w:num w:numId="8">
    <w:abstractNumId w:val="33"/>
  </w:num>
  <w:num w:numId="9">
    <w:abstractNumId w:val="18"/>
  </w:num>
  <w:num w:numId="10">
    <w:abstractNumId w:val="14"/>
  </w:num>
  <w:num w:numId="11">
    <w:abstractNumId w:val="10"/>
  </w:num>
  <w:num w:numId="12">
    <w:abstractNumId w:val="4"/>
  </w:num>
  <w:num w:numId="13">
    <w:abstractNumId w:val="13"/>
  </w:num>
  <w:num w:numId="14">
    <w:abstractNumId w:val="27"/>
  </w:num>
  <w:num w:numId="15">
    <w:abstractNumId w:val="28"/>
  </w:num>
  <w:num w:numId="16">
    <w:abstractNumId w:val="15"/>
  </w:num>
  <w:num w:numId="17">
    <w:abstractNumId w:val="0"/>
  </w:num>
  <w:num w:numId="18">
    <w:abstractNumId w:val="29"/>
  </w:num>
  <w:num w:numId="19">
    <w:abstractNumId w:val="17"/>
  </w:num>
  <w:num w:numId="20">
    <w:abstractNumId w:val="3"/>
  </w:num>
  <w:num w:numId="21">
    <w:abstractNumId w:val="19"/>
  </w:num>
  <w:num w:numId="22">
    <w:abstractNumId w:val="30"/>
  </w:num>
  <w:num w:numId="23">
    <w:abstractNumId w:val="24"/>
  </w:num>
  <w:num w:numId="24">
    <w:abstractNumId w:val="40"/>
  </w:num>
  <w:num w:numId="25">
    <w:abstractNumId w:val="36"/>
  </w:num>
  <w:num w:numId="26">
    <w:abstractNumId w:val="32"/>
  </w:num>
  <w:num w:numId="27">
    <w:abstractNumId w:val="21"/>
  </w:num>
  <w:num w:numId="28">
    <w:abstractNumId w:val="16"/>
  </w:num>
  <w:num w:numId="29">
    <w:abstractNumId w:val="35"/>
  </w:num>
  <w:num w:numId="30">
    <w:abstractNumId w:val="5"/>
  </w:num>
  <w:num w:numId="31">
    <w:abstractNumId w:val="41"/>
  </w:num>
  <w:num w:numId="32">
    <w:abstractNumId w:val="2"/>
  </w:num>
  <w:num w:numId="33">
    <w:abstractNumId w:val="9"/>
  </w:num>
  <w:num w:numId="34">
    <w:abstractNumId w:val="31"/>
  </w:num>
  <w:num w:numId="35">
    <w:abstractNumId w:val="12"/>
  </w:num>
  <w:num w:numId="36">
    <w:abstractNumId w:val="7"/>
  </w:num>
  <w:num w:numId="37">
    <w:abstractNumId w:val="11"/>
  </w:num>
  <w:num w:numId="38">
    <w:abstractNumId w:val="8"/>
  </w:num>
  <w:num w:numId="39">
    <w:abstractNumId w:val="39"/>
  </w:num>
  <w:num w:numId="40">
    <w:abstractNumId w:val="1"/>
  </w:num>
  <w:num w:numId="41">
    <w:abstractNumId w:val="23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A9"/>
    <w:rsid w:val="001E06DF"/>
    <w:rsid w:val="004D13A9"/>
    <w:rsid w:val="0071468D"/>
    <w:rsid w:val="00C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735"/>
  <w15:chartTrackingRefBased/>
  <w15:docId w15:val="{85DF7ECD-0F11-48B2-9B14-F208733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13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3A9"/>
  </w:style>
  <w:style w:type="paragraph" w:styleId="Fuzeile">
    <w:name w:val="footer"/>
    <w:basedOn w:val="Standard"/>
    <w:link w:val="FuzeileZchn"/>
    <w:uiPriority w:val="99"/>
    <w:unhideWhenUsed/>
    <w:rsid w:val="004D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2040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2020-01-21T10:34:00Z</dcterms:created>
  <dcterms:modified xsi:type="dcterms:W3CDTF">2020-03-30T13:48:00Z</dcterms:modified>
</cp:coreProperties>
</file>