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B5" w:rsidRPr="004879F6" w:rsidRDefault="007019B5" w:rsidP="007019B5">
      <w:pPr>
        <w:keepNext/>
        <w:spacing w:before="160" w:after="0" w:line="220" w:lineRule="exact"/>
        <w:ind w:firstLine="397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12.8</w:t>
      </w:r>
    </w:p>
    <w:p w:rsidR="007019B5" w:rsidRPr="004879F6" w:rsidRDefault="007019B5" w:rsidP="007019B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7019B5" w:rsidRPr="004879F6" w:rsidRDefault="007019B5" w:rsidP="007019B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Innere Medizin und Kardiologie</w:t>
      </w:r>
    </w:p>
    <w:p w:rsidR="007019B5" w:rsidRPr="004879F6" w:rsidRDefault="007019B5" w:rsidP="007019B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019B5" w:rsidRDefault="007019B5" w:rsidP="007019B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(27 Monate)</w:t>
      </w:r>
    </w:p>
    <w:p w:rsidR="007019B5" w:rsidRPr="004879F6" w:rsidRDefault="007019B5" w:rsidP="007019B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Humangenetik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Nuklearmedizin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Strahlenschutz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Transplantationsnachsorge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Densitometrie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Interventionelle Techniken und Angiographien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Psychosomatische Medizin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Vorsorgemedizin, Impfwesen und gesundheitliche Aufklärung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Labortechnisch gestützte Nachweisverfahren mit visueller oder apparativer Auswertung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zur Patientinnen- und Patientensicherheit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Menschen mit besonderen Bedürfnissen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7019B5" w:rsidRDefault="007019B5" w:rsidP="007019B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:rsidR="007019B5" w:rsidRDefault="007019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  <w:bookmarkStart w:id="0" w:name="_GoBack"/>
      <w:bookmarkEnd w:id="0"/>
    </w:p>
    <w:p w:rsidR="007019B5" w:rsidRPr="004879F6" w:rsidRDefault="007019B5" w:rsidP="007019B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Innere Medizin mit besonderer Berücksichtigung von Ätiologie, Symptomatologie, Anamneseerhebung und Exploration, Diagnostik und Differenzialdiagnostik innerer Erkrankungen sowie Anatomie, Physiologie, Pathologie, Pathophysiologie, Pharmakologie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Grundlegenden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Erfahrungen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in den Kernfächern: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 und Diabetikerbehandlungen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7019B5" w:rsidRPr="004879F6" w:rsidRDefault="007019B5" w:rsidP="007019B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Klinische Pharmakologie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Geriatrie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Palliativmedizin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psychosomatische Medizin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Internistisch präoperative Beurteilung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Grundlagen hereditärer Krankheitsbilder einschließlich der Indikationsstellung für eine humangenetische Beratung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Suchterkrankungen und deren interdisziplinäre Betreuung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Gesundheitsberatung, Prävention, fachspezifische Vorsorgemedizin, Impfwesen und gesundheitliche Aufklärung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Ernährungsbedingte Gesundheitsstörungen einschließlich diätetischer Beratung sowie Beratung und Schulung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Erkennen und Behandlung akuter Notfälle einschließlich lebensrettender Maßnahmen zur Aufrechterhaltung von Vitalfunktionen und Wiederbelebung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Qualitätssicherung und Dokumentation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Interdisziplinäre Zusammenarbeit bei multimorbiden Patientinnen und Patienten mit inneren Erkrankungen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Interdisziplinäre Indikationsstellung zu chirurgischen, strahlentherapeutischen und nuklearmedizinischen Maßnahmen</w:t>
            </w:r>
          </w:p>
        </w:tc>
      </w:tr>
    </w:tbl>
    <w:p w:rsidR="007019B5" w:rsidRDefault="007019B5" w:rsidP="007019B5">
      <w:pPr>
        <w:spacing w:after="0" w:line="240" w:lineRule="atLeast"/>
        <w:rPr>
          <w:rFonts w:ascii="Times New Roman" w:hAnsi="Times New Roman" w:cs="Times New Roman"/>
          <w:sz w:val="20"/>
        </w:rPr>
      </w:pPr>
    </w:p>
    <w:p w:rsidR="007019B5" w:rsidRDefault="007019B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Behandlung von Patientinnen und Patienten mit internistischen Erkrankungen mit besonderer Berücksichtigung von Ätiologie, Symptomatologie, Anamneseerhebung und Exploration, Diagnostik und Differentialdiagnostik innerer Erkrankungen sowie von Anatomie, Physiologie, Pathologie, Pathophysiologie, Pharmakologie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Grundlegenden Fertigkeiten in den Kernfächern: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 und Diabetikerbehandlungen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Infektiologie 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7019B5" w:rsidRPr="004879F6" w:rsidRDefault="007019B5" w:rsidP="007019B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Klinische Pharmakologie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Geriatrie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Palliativmedizin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psychosomatische Medizin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Schmerztherapie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Fachspezifische Laboruntersuchungen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Internistisch präoperative Beurteilung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Erkennen und Behandlung akuter Notfälle einschließlich lebensrettender Maßnahmen zur Aufrechterhaltung von Vitalfunktionen und Wiederbelebung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Interdisziplinäre Zusammenarbeit bei multimorbiden Patientinnen und Patienten mit inneren Erkrankungen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EKG 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LZ-RR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Abdomensonographie einschl. Nieren-Retroperitoneum und Urogenitalorgane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</w:tbl>
    <w:p w:rsidR="007019B5" w:rsidRDefault="007019B5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Therapie vital bedrohlicher Zustände, Aufrechterhaltung und Wiederherstellung inkl. Notfall und Intensivmedizin, Beatmung, Entwöhnung, nicht-invasive Beatmungstechniken, hämodynamisches Monitoring, Schockbehandlung, zentrale Zugänge, Defibrillation, PM-Behandlung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Echokardiographie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Spirometrie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Ergometrie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Infusions-, Transfusions- und Blutersatztherapie, enterale und parenterale Ernährung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19B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Durchführung von Punktionen oder Stanzen von z.B. Blase, Pleura, Bauchhöhle, Liquor, Leber oder Knochenmark 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7019B5" w:rsidRPr="004879F6" w:rsidRDefault="007019B5" w:rsidP="007019B5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(36 Monate)</w:t>
      </w:r>
    </w:p>
    <w:p w:rsidR="007019B5" w:rsidRPr="004879F6" w:rsidRDefault="007019B5" w:rsidP="007019B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Untersuchung, Differentialdiagnostik, Befundinterpretation und Therapie kardiovaskulärer Erkrankungen und deren Risikofaktoren sowie psychosomatischer Aspekte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Indikationen, mögliche Komplikationen, Durchführung und Interpretation von invasiven kardiologischen Maßnahmen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ICD (implantierbarer Defibrillator)-Implantation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CRT (biventrikulärer PM)-Implantation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Katheter-Ablation</w:t>
            </w:r>
          </w:p>
        </w:tc>
      </w:tr>
    </w:tbl>
    <w:p w:rsidR="007019B5" w:rsidRDefault="007019B5" w:rsidP="007019B5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Stress-Echokardiographie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der von Nuklearmedizinerinnen und Nuklearmedizinern erhobenen Befunde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Interpretation der von Radiologinnen und Radiologen erhobenen Bilder und Befunde kardialer Magnetresonanztomographie und Computertomographie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Perkutane Koronarintervention (PCI)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Schrittmacher-Implantation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Elektrophysiologische Untersuchung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kardiale Diagnostik mittels Langzeituntersuchung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Strahlenschutz bei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Patientinnen und Patienten </w:t>
            </w:r>
            <w:r w:rsidRPr="004879F6">
              <w:rPr>
                <w:rFonts w:ascii="Times New Roman" w:hAnsi="Times New Roman" w:cs="Times New Roman"/>
                <w:sz w:val="20"/>
              </w:rPr>
              <w:t>und Personal entsprechend den rechtlichen Vorschriften</w:t>
            </w:r>
          </w:p>
        </w:tc>
      </w:tr>
      <w:tr w:rsidR="007019B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ICD und PM-Implantation</w:t>
            </w:r>
          </w:p>
        </w:tc>
      </w:tr>
    </w:tbl>
    <w:p w:rsidR="007019B5" w:rsidRDefault="007019B5" w:rsidP="007019B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019B5" w:rsidRDefault="007019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1374"/>
      </w:tblGrid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 xml:space="preserve">Fertigkeiten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intensivmedizinische Versorgung: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erweiterte Reanimation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Intubation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Punktionen großer Körpervenen und -arterien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Legen von Kathetern zur Druckmessung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Perikardpunktion,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10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Passagere Schrittmacher-Sondenlegung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EKG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Langzeit-EKG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Belastungs-EKG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Langzeit-Blutdruckmessung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Transthorakale Echokardiographie inkl. Doppler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350 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Allfällig Transösophageale Echokardiographie (TEE)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50 </w:t>
            </w:r>
          </w:p>
        </w:tc>
      </w:tr>
      <w:tr w:rsidR="007019B5" w:rsidRPr="004879F6" w:rsidTr="00AF5AEF">
        <w:trPr>
          <w:trHeight w:val="367"/>
        </w:trPr>
        <w:tc>
          <w:tcPr>
            <w:tcW w:w="81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Koronarangiographie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250</w:t>
            </w:r>
          </w:p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</w:tr>
      <w:tr w:rsidR="007019B5" w:rsidRPr="004879F6" w:rsidTr="00AF5AEF">
        <w:trPr>
          <w:trHeight w:val="377"/>
        </w:trPr>
        <w:tc>
          <w:tcPr>
            <w:tcW w:w="81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Mitwirkung bei Koronarintervention (auch als 1. Assistenz)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19B5" w:rsidRPr="004879F6" w:rsidTr="00AF5AEF">
        <w:tc>
          <w:tcPr>
            <w:tcW w:w="8152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davon im Rahmen von Notfällen bzw der Therapie eines akuten Koronarsyndroms 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7019B5" w:rsidRPr="004879F6" w:rsidTr="00AF5AEF">
        <w:tc>
          <w:tcPr>
            <w:tcW w:w="8152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Schrittmacher-Nachsorge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Allfällig Rechtsherzkatheteruntersuchung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7019B5" w:rsidRPr="004879F6" w:rsidTr="00AF5AEF">
        <w:tc>
          <w:tcPr>
            <w:tcW w:w="81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7019B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Elektrische Kardioversion</w:t>
            </w:r>
          </w:p>
        </w:tc>
        <w:tc>
          <w:tcPr>
            <w:tcW w:w="137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7019B5" w:rsidRPr="004879F6" w:rsidRDefault="007019B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91326B" w:rsidRDefault="0091326B" w:rsidP="007019B5"/>
    <w:sectPr w:rsidR="009132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B5" w:rsidRDefault="007019B5" w:rsidP="007019B5">
      <w:pPr>
        <w:spacing w:after="0" w:line="240" w:lineRule="auto"/>
      </w:pPr>
      <w:r>
        <w:separator/>
      </w:r>
    </w:p>
  </w:endnote>
  <w:endnote w:type="continuationSeparator" w:id="0">
    <w:p w:rsidR="007019B5" w:rsidRDefault="007019B5" w:rsidP="0070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9B5" w:rsidRPr="007019B5" w:rsidRDefault="008B71DC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</w:t>
    </w:r>
    <w:r w:rsidR="007019B5" w:rsidRPr="007019B5">
      <w:rPr>
        <w:rFonts w:ascii="Times New Roman" w:hAnsi="Times New Roman" w:cs="Times New Roman"/>
        <w:sz w:val="18"/>
        <w:szCs w:val="18"/>
      </w:rPr>
      <w:t>KEF u R</w:t>
    </w:r>
    <w:r>
      <w:rPr>
        <w:rFonts w:ascii="Times New Roman" w:hAnsi="Times New Roman" w:cs="Times New Roman"/>
        <w:sz w:val="18"/>
        <w:szCs w:val="18"/>
      </w:rPr>
      <w:t>Z-V</w:t>
    </w:r>
    <w:r w:rsidR="007019B5" w:rsidRPr="007019B5">
      <w:rPr>
        <w:rFonts w:ascii="Times New Roman" w:hAnsi="Times New Roman" w:cs="Times New Roman"/>
        <w:sz w:val="18"/>
        <w:szCs w:val="18"/>
      </w:rPr>
      <w:t xml:space="preserve"> 2015, </w:t>
    </w:r>
    <w:r>
      <w:rPr>
        <w:rFonts w:ascii="Times New Roman" w:hAnsi="Times New Roman" w:cs="Times New Roman"/>
        <w:sz w:val="18"/>
        <w:szCs w:val="18"/>
      </w:rPr>
      <w:t>Version 1</w:t>
    </w:r>
    <w:r w:rsidR="00523F88">
      <w:rPr>
        <w:rFonts w:ascii="Times New Roman" w:hAnsi="Times New Roman" w:cs="Times New Roman"/>
        <w:sz w:val="18"/>
        <w:szCs w:val="18"/>
      </w:rPr>
      <w:t>.3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7019B5" w:rsidRPr="007019B5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7019B5" w:rsidRPr="007019B5">
      <w:rPr>
        <w:rFonts w:ascii="Times New Roman" w:hAnsi="Times New Roman" w:cs="Times New Roman"/>
        <w:sz w:val="18"/>
        <w:szCs w:val="18"/>
      </w:rPr>
      <w:t>01.01.2020</w:t>
    </w:r>
    <w:r w:rsidR="007019B5" w:rsidRPr="007019B5">
      <w:rPr>
        <w:rFonts w:ascii="Times New Roman" w:hAnsi="Times New Roman" w:cs="Times New Roman"/>
        <w:sz w:val="18"/>
        <w:szCs w:val="18"/>
      </w:rPr>
      <w:tab/>
    </w:r>
    <w:r w:rsidR="007019B5" w:rsidRPr="007019B5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7019B5" w:rsidRPr="007019B5">
      <w:rPr>
        <w:rFonts w:ascii="Times New Roman" w:hAnsi="Times New Roman" w:cs="Times New Roman"/>
        <w:bCs/>
        <w:sz w:val="18"/>
        <w:szCs w:val="18"/>
      </w:rPr>
      <w:fldChar w:fldCharType="begin"/>
    </w:r>
    <w:r w:rsidR="007019B5" w:rsidRPr="007019B5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7019B5" w:rsidRPr="007019B5">
      <w:rPr>
        <w:rFonts w:ascii="Times New Roman" w:hAnsi="Times New Roman" w:cs="Times New Roman"/>
        <w:bCs/>
        <w:sz w:val="18"/>
        <w:szCs w:val="18"/>
      </w:rPr>
      <w:fldChar w:fldCharType="separate"/>
    </w:r>
    <w:r w:rsidR="00523F88" w:rsidRPr="00523F88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7019B5" w:rsidRPr="007019B5">
      <w:rPr>
        <w:rFonts w:ascii="Times New Roman" w:hAnsi="Times New Roman" w:cs="Times New Roman"/>
        <w:bCs/>
        <w:sz w:val="18"/>
        <w:szCs w:val="18"/>
      </w:rPr>
      <w:fldChar w:fldCharType="end"/>
    </w:r>
    <w:r w:rsidR="007019B5" w:rsidRPr="007019B5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7019B5" w:rsidRPr="007019B5">
      <w:rPr>
        <w:rFonts w:ascii="Times New Roman" w:hAnsi="Times New Roman" w:cs="Times New Roman"/>
        <w:bCs/>
        <w:sz w:val="18"/>
        <w:szCs w:val="18"/>
      </w:rPr>
      <w:fldChar w:fldCharType="begin"/>
    </w:r>
    <w:r w:rsidR="007019B5" w:rsidRPr="007019B5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7019B5" w:rsidRPr="007019B5">
      <w:rPr>
        <w:rFonts w:ascii="Times New Roman" w:hAnsi="Times New Roman" w:cs="Times New Roman"/>
        <w:bCs/>
        <w:sz w:val="18"/>
        <w:szCs w:val="18"/>
      </w:rPr>
      <w:fldChar w:fldCharType="separate"/>
    </w:r>
    <w:r w:rsidR="00523F88" w:rsidRPr="00523F88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="007019B5" w:rsidRPr="007019B5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B5" w:rsidRDefault="007019B5" w:rsidP="007019B5">
      <w:pPr>
        <w:spacing w:after="0" w:line="240" w:lineRule="auto"/>
      </w:pPr>
      <w:r>
        <w:separator/>
      </w:r>
    </w:p>
  </w:footnote>
  <w:footnote w:type="continuationSeparator" w:id="0">
    <w:p w:rsidR="007019B5" w:rsidRDefault="007019B5" w:rsidP="0070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B68"/>
    <w:multiLevelType w:val="hybridMultilevel"/>
    <w:tmpl w:val="1918EC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72C8"/>
    <w:multiLevelType w:val="hybridMultilevel"/>
    <w:tmpl w:val="DB4C78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17E71"/>
    <w:multiLevelType w:val="hybridMultilevel"/>
    <w:tmpl w:val="2228DEE4"/>
    <w:lvl w:ilvl="0" w:tplc="A022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EB2"/>
    <w:multiLevelType w:val="hybridMultilevel"/>
    <w:tmpl w:val="5E4E42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7046"/>
    <w:multiLevelType w:val="hybridMultilevel"/>
    <w:tmpl w:val="0458F3E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B69210F"/>
    <w:multiLevelType w:val="hybridMultilevel"/>
    <w:tmpl w:val="D450AA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2EF6"/>
    <w:multiLevelType w:val="hybridMultilevel"/>
    <w:tmpl w:val="2228DEE4"/>
    <w:lvl w:ilvl="0" w:tplc="A022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3E52"/>
    <w:multiLevelType w:val="hybridMultilevel"/>
    <w:tmpl w:val="5E4E42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47024"/>
    <w:multiLevelType w:val="hybridMultilevel"/>
    <w:tmpl w:val="DE10A9C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9D70E77"/>
    <w:multiLevelType w:val="hybridMultilevel"/>
    <w:tmpl w:val="6172B98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B5"/>
    <w:rsid w:val="00523F88"/>
    <w:rsid w:val="007019B5"/>
    <w:rsid w:val="008B71DC"/>
    <w:rsid w:val="009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ACEA"/>
  <w15:chartTrackingRefBased/>
  <w15:docId w15:val="{CB590531-486E-4870-8EAD-99C3BC06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9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9B5"/>
  </w:style>
  <w:style w:type="paragraph" w:styleId="Fuzeile">
    <w:name w:val="footer"/>
    <w:basedOn w:val="Standard"/>
    <w:link w:val="FuzeileZchn"/>
    <w:uiPriority w:val="99"/>
    <w:unhideWhenUsed/>
    <w:rsid w:val="00701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1157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2020-01-21T09:21:00Z</dcterms:created>
  <dcterms:modified xsi:type="dcterms:W3CDTF">2020-03-30T12:51:00Z</dcterms:modified>
</cp:coreProperties>
</file>