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4E" w:rsidRPr="004879F6" w:rsidRDefault="001B464E" w:rsidP="001B464E">
      <w:pPr>
        <w:spacing w:after="0" w:line="200" w:lineRule="exact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7</w:t>
      </w:r>
    </w:p>
    <w:p w:rsidR="001B464E" w:rsidRPr="004879F6" w:rsidRDefault="001B464E" w:rsidP="001B464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Frauenheilkunde und Geburtshilfe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B464E" w:rsidRPr="004879F6" w:rsidRDefault="001B464E" w:rsidP="001B464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Sonderfach Grundausbildung (36 Monate) 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Anatomie und Histologie der weiblichen Geschlechtsorgane und der Brustdrüse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Endokrine Regulation der Ovarialfunktion, endokrine Diagnostik in der Frauenheilkunde einschließlich der Kindheit, der Adoleszenz, der geschlechtsreifen Frau, des Klimakteriums und der Frühschwangerschaft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Pathophysiologie, Basisdiagnostik und Basistherapie der Infertilität, des Klimakteriums und der Hormontherapie in der Peri- und Postmenopause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Methoden, Indikationen und Kontraindikationen der Kontrazeption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Ätiologie, Pathogenese, Pathophysiologie, Symptomatologie gutartiger und bösartiger 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Anatomie der Geburtshilfe, feto-maternalen Physiologie und Epidemiologie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Klinische, apparative, operative und invasive Untersuchungsmethoden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Pränataldiagnostik und Genetik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Reproduktionsmedizin und Transgendermedizin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Zytodiagnostische Verfahren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Postoperative Rehabilitation sowie Erfordernisse der Nachsorge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Diagnostik, Beratung und Behandlung psychosozialer und psychosexueller Störungen jeden Frauenalters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von Zeichen des Missbrauchs sowie Betreuung von Frauen nach Gewalt inklusive </w:t>
            </w:r>
            <w:r w:rsidRPr="004879F6">
              <w:rPr>
                <w:rFonts w:ascii="Times New Roman" w:hAnsi="Times New Roman" w:cs="Times New Roman"/>
                <w:sz w:val="20"/>
              </w:rPr>
              <w:br/>
              <w:t>„Female Genitale Mutilation“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Psychosomatische Medizin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Vorsorgemedizin und gesundheitliche Aufklärung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Orientierung über soziale Einrichtungen, Institutionen und Möglichkeiten der Rehabilitation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Gesundheitsökonomische Auswirkungen ärztlichen Handelns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Maßnahmen zur Patientinnen- und Patientensicherheit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Menschen mit besonderen Bedürfnissen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Geriatrie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</w:tr>
    </w:tbl>
    <w:p w:rsidR="001B464E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p w:rsidR="001B464E" w:rsidRDefault="001B464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bookmarkStart w:id="0" w:name="_GoBack"/>
      <w:bookmarkEnd w:id="0"/>
    </w:p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Differentialdiagnostik fachspezifischer gutartiger und bösartiger 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Diagnostik, Beratung und Behandlung gynäkologischer Erkrankungen aller Altersstufen der Frau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und Kommunikation mit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Patientinnen 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und Angehörigen über Vorbereitung, Indikation, Durchführung und Risiken von Untersuchungen und Behandlungen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Gynäkologische Untersuchung und Beratung von Kindern und Jugendlichen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Operative Eingriffe am äußeren und inneren Genitale sowie der Mamma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prä- und postoperativer Komplikationen und perioperative Therapie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Urogynäkologie sowie Interpretation von urodynamischen Untersuchungen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Untersuchungen zur Früherkennung gynäkologischer Krebserkrankungen unter besonderer Berücksichtigung der Kenntnisse zytodiagnostischer Verfahren und der Kolposkopie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Durchführung operativer gynäkologischer Behandlungsmethoden inkl. Behandlungsmethoden gynäkologischer Malignome und bösartiger Erkrankungen der weiblichen Brust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Allfällige fachspezifische zytostatische, immunmodulatorische, supportive und palliative Behandlungszyklen und nachfolgende Überwachung und Beherrschung der Komplikationen nach interdisziplinärer Indikationsstellung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Indikationsstellung, Durchführung fachspezifischer, medikamentöser und operativer Behandlungsmethoden von Malignomen unter Einbeziehung multimodaler und medikamentöser onkologischer Therapien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und Erfahrung der multidisziplinären Koordination von Behandlungsabläufen sowie Mitwirkung in interdisziplinären Einrichtungen wie Tumorboards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Nachsorgemedizin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bei Störungen der Ovarialfunktion und Sterilität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endokrine Diagnostik und Therapie und Betreuung der Frauen in der Peri- und Postmenopause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Abklärung von Zyklusstörungen, klimakterischen Beschwerden und vor hormoneller Kontrazeption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Methoden, Indikationen und Kontraindikationen der Kontrazeption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Abklärung bei Störungen der Pubertätsentwicklung und in der Kinder- und Jugendgynäkologie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Interpretation von Laboruntersuchungen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Medikamente in Schwangerschaft und Stillzeit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 in Gynäkologie und Geburtshilfe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Neugeborenen-Reanimation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Pathologischer Verlauf der Schwangerschaft unter besonderer Berücksichtigung von Früh- und Spätschwangerschaften, Erkennen von Risikofaktoren und Umwelteinflüssen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Schmerztherapie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Palliativmedizin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 und Dokumentation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Zeugnissen, etc.)</w:t>
            </w:r>
          </w:p>
        </w:tc>
      </w:tr>
    </w:tbl>
    <w:p w:rsidR="001B464E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p w:rsidR="001B464E" w:rsidRDefault="001B464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1B464E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7"/>
        <w:gridCol w:w="1489"/>
      </w:tblGrid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br w:type="page"/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 (Operations-und Eingriffszahlen aus der Sonderfach-Grundausbildung und der Sonderfach-Schwerpunktausbildung sind wechselseitig anrechenbar)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Akutmedizin: Erkennen und Vorgehen bei akuten, lebensbedrohlichen Situationen, Schnelldiagnostik, Sofortmaßnahmen und Erstversorgung 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Durchführung, Befundung und Dokumentation fachspezifischer sonographischer Untersuchungen 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500 </w:t>
            </w:r>
            <w:r w:rsidRPr="004879F6">
              <w:rPr>
                <w:rFonts w:ascii="Times New Roman" w:hAnsi="Times New Roman" w:cs="Times New Roman"/>
                <w:sz w:val="20"/>
              </w:rPr>
              <w:br/>
              <w:t xml:space="preserve">(davon Geburtshilfe 300, </w:t>
            </w:r>
            <w:r w:rsidRPr="004879F6">
              <w:rPr>
                <w:rFonts w:ascii="Times New Roman" w:hAnsi="Times New Roman" w:cs="Times New Roman"/>
                <w:sz w:val="20"/>
              </w:rPr>
              <w:br/>
              <w:t xml:space="preserve">Gynäkologie 200) 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Begleitung und Beurteilung der Schwangerschafts- und des Geburtsverlaufs; Überwachung und Betreuung von Mutter und Kind während und nach der Geburt und im Wochenbett: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ind w:left="709" w:hanging="29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Leitung einer physiologischen Geburt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ind w:left="709" w:hanging="29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Operative Geburtsbeendigung (z.B. Vakuum)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Interpretation von CTG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Therapie von Erkrankungen in der Geburtshilfe inkl. pathologischer Geburten und Risikogeburten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Kontrazeption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Kolposkopie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Perioperatives Management/Postoperatives Management bei gynäkologischen Operationen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Untersuchungen (Spiegeleinstellung, Abstrichentnahme, vaginale, rektale und abdominale Palpationsuntersuchung)</w:t>
            </w:r>
            <w:r w:rsidRPr="004879F6">
              <w:rPr>
                <w:rFonts w:ascii="Times New Roman" w:hAnsi="Times New Roman" w:cs="Times New Roman"/>
                <w:sz w:val="20"/>
              </w:rPr>
              <w:br/>
              <w:t>Beurteilung eines Nativpräparates</w:t>
            </w:r>
            <w:r w:rsidRPr="004879F6">
              <w:rPr>
                <w:rFonts w:ascii="Times New Roman" w:hAnsi="Times New Roman" w:cs="Times New Roman"/>
                <w:sz w:val="20"/>
              </w:rPr>
              <w:br/>
              <w:t>Mammalymphknoten/Lymphknoten Palpation</w:t>
            </w:r>
            <w:r w:rsidRPr="004879F6">
              <w:rPr>
                <w:rFonts w:ascii="Times New Roman" w:hAnsi="Times New Roman" w:cs="Times New Roman"/>
                <w:sz w:val="20"/>
              </w:rPr>
              <w:br/>
              <w:t>Untersuchungsablauf nach Vergewaltigung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Zeugnissen, etc.)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Geburtshilfe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Nachgeburtliche Operationen (Zervix-/höhergradiger Damm-, Vaginalriss, manuelle Plazentalösung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Kaiserschnitt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Laparoskopie und kleinere laparoskopische Eingriffe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Hysteroskopie und hysteroskopische Operationen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Größere laparoskopische Operationen und Laparotomien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Vaginale Operationen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Eingriffe an der Zervix, Vagina, Vulva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Operationen bei Descensus, Harninkontinenz (1. Assistenzen und angeleitete Operationen)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B464E" w:rsidRPr="004879F6" w:rsidTr="00AF5AEF">
        <w:tc>
          <w:tcPr>
            <w:tcW w:w="803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Curettagen (inkl. Abortuscurettagen)</w:t>
            </w:r>
          </w:p>
        </w:tc>
        <w:tc>
          <w:tcPr>
            <w:tcW w:w="148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</w:tbl>
    <w:p w:rsidR="001B464E" w:rsidRPr="004879F6" w:rsidRDefault="001B464E" w:rsidP="001B464E">
      <w:pPr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1B464E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B464E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B464E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lastRenderedPageBreak/>
        <w:t xml:space="preserve">Sonderfach Schwerpunktausbildung (27 Monate) 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B464E" w:rsidRPr="004879F6" w:rsidRDefault="001B464E" w:rsidP="001B464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Modul 1: Endokrinologie und Reproduktionsmedizin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Physiologie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und Pathophysiologie der Ovarialfunktion und deren Differentialdiagnostik und Therapie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Ursachen der männlichen und weiblichen Sterilität und Subfertilität einschließlich Genetik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Methoden der assistierten Reproduktion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Ursachen wiederholter Fehlgeburten und der gestörten Frühschwangerschaft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Erkrankungen, die zu einer Einschränkung der Fertilität führen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Kinder- und Jugendgynäkologie, insbesondere bei endokrinen Störungen in dieser Lebensphase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Physiologie und Pathologie der Peri- und Postmenopause einschließlich der Hormonersatztherapie und der Prävention der Osteoporose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Interpretation von bildgebenden und nuklearmedizinischen Verfahren in der reproduktionsmedizinischen Diagnostik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Gesetzliche Bestimmungen in der Reproduktionsmedizin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Differentialdiagnose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gynäkologisch-endokrinologischer und reproduktionsmedizinisch relevanter </w:t>
            </w:r>
            <w:r w:rsidRPr="004879F6">
              <w:rPr>
                <w:rFonts w:ascii="Times New Roman" w:hAnsi="Times New Roman" w:cs="Times New Roman"/>
                <w:sz w:val="20"/>
              </w:rPr>
              <w:t>Erkrankungen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Bildgebende Verfahren: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Vaginal- und Abdominal-Sonographie des Uterus und der Ovarien bei der Diagnostik und beim Zyklusmonitoring, Ultraschall-Kontrastmitteluntersuchungen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der Komplikationen der Sterilitätsbehandlung, insbesondere der Überstimulation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Interpretation von Laboruntersuchungen im Rahmen der endokrinen Diagnostik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Fertilitätsprotektion bei Tumor-Patientinnen und unter zytostatischer 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Therapie des habituellen Abortes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Methoden der Kontrazeption und deren Nebenwirkungen und Kontraindikationen sowie deren Vermittlung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B464E" w:rsidRPr="004879F6" w:rsidRDefault="001B464E" w:rsidP="001B464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464E" w:rsidRPr="004879F6" w:rsidRDefault="001B464E" w:rsidP="001B464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2: Fetomaternale Medizin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Rechtliche und ethische Grundlagen bei der Behandlungen in der Schwangerschaft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Psychologische Grundlagen für die Betreuung in der Schwangerschaft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Immunologische Erkrankungen, neurologische Erkrankungen, psychische und psychiatrische Komplikationen, Infektionskrankheiten, dermatologische Erkrankungen, maligne Erkrankungen und Substanzabhängigkeiten in der Schwangerschaft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Plazentastörungen (incret, percret)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Reanimation des Neugeborenen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Rhesusinkompatibilität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Schwangerschaftsbeendigung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Cerclage und Muttermundverschluss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Chirurgische Techniken der peripartalen Blutstillung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Ersttrimester-Screening SSW – 11-14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Organscreening SSW – 20-23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Doppler-Untersuchung der klinisch relevanten fetalen und maternalen Gefäße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Amniozentese, Chorion und Plazentapunktion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Assoziierte syndromhafte und chromosomale Auffälligkeiten und entsprechende Beratung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eines Aufklärungsgespräches nach Diagnose von fetaler Fehlbildung oder Chromosomenstörung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Erfahrung im Management von Mehrlingsschwangerschaften, im Besonderen bei höhergradigen Mehrlingsschwangerschaften, FFTS, extremer Wachstumsdiskrepanz, TRAP-Sequenz und Diskordanz von Fehlbildungen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Behandlung bei Bluthochdruck, Diabetes mellitus, Erkrankung der Nieren und des harnableitenden Systems, Erkrankung des Herz-Kreislaufsystems, Erkrankungen der Leber und der Gallenwege, Endokrine Erkrankungen, Gastrointestinale Erkrankungen, Pulmonale Erkrankungen im Rahmen der Gravidität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Geburtsmanagement einschließlich  Risikogeburten, postpartale Blutungen und Fehlgeburten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Cardiotokographie (CTG)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Fulminant verlaufende präeklamptische Krankheitsbilder einschließlich HELLP-Syndrom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Akuttokolyse – intrauterine Reanimation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Behandlung von Notfällen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Blutungen in der Schwangerschaft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Management der extrauterinen Gravidität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Sectio caesarea – transversale und longitudinale Schnittführung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Vaginal operative Entbindungsmethoden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Tubenligatur post partum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Fetale Ultraschalluntersuchungstechniken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B464E" w:rsidRPr="004879F6" w:rsidRDefault="001B464E" w:rsidP="001B464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Modul 3: Gynäkologische Onkologie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Epidemiologie und Ätiologie gynäko-onkologischer und senologischer Tumore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Genetische Grundlagen (insbesondere familiäres Brust- und Eierstockkrebssyndrom)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Psychoonkologische Grundlagen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Ethische und rechtliche Grundlagen der gynäkologisch onkologischen Aufklärung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Behandlung gynäkologischer Tumoren mit fachspezifischen onkologischen chirurgischen und konservativen Verfahren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Beurteilung und Prognose potentieller Risikofaktoren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Operatives Staging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Plastisch-rekonstruktive Eingriffe an der Vulva und an der Brust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Rehabilitation und Physiotherapie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Interpretation der von Radiologinnen und Radiologen und Nuklearmedizinerinnen und Nuklearmedizinern erhobenen Bilder und Befunde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Core-Biopsie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Interpretation zytologisch histologischer Befunde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Indikationsstellung zur Radiotherapie und Management von Nebenwirkungen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von Symptomen, Diagnose und Differentialdiagnose gynäko-onkologischer und senologischer Tumore inkl. Stadieneinteilung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Gynäkologische Untersuchungstechniken, Brustpalpation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Vaginal-Sonographie und Abdominal-Sonographie gynäko-onkologischer und senologischer Tumoren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Allfällige fachspezifische zytostatische, immunmodulatorische, supportive und palliative Behandlungszyklen und nachfolgende Überwachung und Beherrschung der Komplikationen nach interdisziplinärer Indikationsstellung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Prinzipien der Tumornachsorge gynäko-onkologischer Tumoren inkl. Brustkrebs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rPr>
          <w:trHeight w:val="364"/>
        </w:trPr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vAlign w:val="center"/>
          </w:tcPr>
          <w:p w:rsidR="001B464E" w:rsidRPr="004879F6" w:rsidRDefault="001B464E" w:rsidP="001B464E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Operationen von Mammatumoren unklarer Dignität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Operationen bei onkologischen Krankheitsbildern insgesamt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2"/>
              </w:numPr>
              <w:spacing w:after="0" w:line="240" w:lineRule="auto"/>
              <w:ind w:left="851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 der Mamma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2"/>
              </w:numPr>
              <w:spacing w:after="0" w:line="240" w:lineRule="auto"/>
              <w:ind w:left="851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bei weiteren gynäkologischen Malignomen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B464E" w:rsidRPr="004879F6" w:rsidRDefault="001B464E" w:rsidP="001B464E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B464E" w:rsidRPr="004879F6" w:rsidRDefault="001B464E" w:rsidP="001B464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4: Urogynäkologie und rekonstruktive Beckenbodenchirurgie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Topographische Anatomie des kleinen Beckens und des Beckenbodens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Physiologie der Harnspeicherung und Miktion, der analen Funktion und Dysfunktion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Harn- und Stuhlinkontinenz sowie des Descensus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Arten von sexueller Dysfunktion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Wertigkeit von Bildgebung bei Beckenbodendysfunktion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Neurologische Krankheitsbilder und ihre Auswirkungen auf den unteren Harntrakt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Nebenwirkungen für den Harntrakt von gängigen Medikamentengruppen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Fehlbildungen des Harntrakts 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und therapeutische Verfahren des Beckenschmerzes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Erfahrungen der gängigen Therapiemöglichkeiten der überaktiven Blase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082"/>
        <w:gridCol w:w="1444"/>
      </w:tblGrid>
      <w:tr w:rsidR="001B464E" w:rsidRPr="004879F6" w:rsidTr="00AF5AEF"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Therapie der Harninkontinenz, der postpartalen Analinkontinenz und des Beckenbodens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einer Zystoskopie im Rahmen vor, während und nach fachspezifischer Interventionen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Anleitung zur Physiotherapie, zum Blasentraining  und Verlaufskontrolle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Therapie chronischer und rezidivierender Infekte des unteren Harntrakts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Operationen bei Descensus und Harninkontinenz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urogynäkologischer Sonographie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1B464E" w:rsidRPr="004879F6" w:rsidRDefault="001B464E" w:rsidP="001B464E">
      <w:pPr>
        <w:spacing w:after="0" w:line="240" w:lineRule="atLeast"/>
        <w:jc w:val="center"/>
        <w:rPr>
          <w:rFonts w:ascii="Times New Roman" w:hAnsi="Times New Roman" w:cs="Times New Roman"/>
          <w:b/>
          <w:strike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5: Ambulante Gynäkologie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Epidemiologie, Ätiologie, Pathogenese und Symptomatologie gutartiger und bösartiger Erkrankungen in der Gynäkologie inkl. der Harninkontinenz, der Brust und des Knochens in Hinblick auf Osteoporose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Epidemiologie, Ätiologie, Pathogenese und Symptomatologie von normalen und pathologischen Schwangerschaftsverläufen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Endokrine Systeme, Interpretation von gynäko-endokrinen Befunden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Methoden, Indikationen und Kontraindikationen der Kontrazeption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Basisdiagnostik der Infertilität und Beratung bzgl. weiterführender Methoden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Jugendlichen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Beratung über Möglichkeit und Konsequenzen des Ersttrimester-Screenings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einer Risikoschwangerschaft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von psychosomatischen Störungen in Schwangerschaft und Wochenbett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bei Schwangerschaftskonflikten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über die Methoden einer Schwangerschaftsbeendigung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und apparative Untersuchungsmethoden, insbesondere Spiegeleinstellung, Ultraschall und Kolposkopie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Abnahme von Abstrichen bei infektiösen Erkrankungen sowie des zytologischen Abstrichs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bzgl. Therapie bei Erkrankungen der Vulva, Vagina, Uterus, Adnexen und der Mamma sowie Durchführung von Impfungen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Familienplanung sowie hormonelle, chemische, mechanische und operative Kontrazeption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Onkologische Nachsorge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Feststellung einer Schwangerschaft, Erkennung und Behandlung von Schwangerschaftserkrankungen, Risikoschwangerschaften unter besonderer Berücksichtigung der Mutter-Kind-Pass-Untersuchung und Wochenbettbetreuung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Untersuchung und Beratung in der Peri- und Menopause und im Senium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4E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und interdisziplinäre Therapie bei Patientinnen mit Osteopenie/Osteoporose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B464E" w:rsidRPr="004879F6" w:rsidRDefault="001B464E" w:rsidP="001B464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B464E" w:rsidRPr="004879F6" w:rsidRDefault="001B464E" w:rsidP="001B464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lastRenderedPageBreak/>
        <w:t xml:space="preserve">Modul 6: Operative Gynäkologie </w:t>
      </w:r>
    </w:p>
    <w:p w:rsidR="001B464E" w:rsidRPr="004879F6" w:rsidRDefault="001B464E" w:rsidP="001B464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Ätiologie, Pathogenese, Pathophysiologie, Symptomatologie seltenerer und/oder komplexer benigner gynäkologischer 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Klinische, apparative operative und invasive Untersuchungsmethoden seltenerer und/oder komplexer benigner gynäkologischer 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Patientinnen nach komplizierteren gynäkologischen Eingriffen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Methoden in der fachspezifischen postoperativen Rehabilitation bei komplexen gynäkologischen Erkrankungen bzw. bei gynäkologischen Patientinnen mit schwerwiegenden Grunderkrankungen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Diagnostik, Beratung und Behandlung  psychosomatischer, psychosozialer und psychosexueller Störungen jeden Frauenalters sowie Geriatrie bei komplexen und/oder selteneren benignen gynäkologischen 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multidisziplinären Koordination und Kooperation, insbesondere Orientierung über soziale Einrichtungen, Institutionen und Möglichkeiten der Rehabilitation bei komplexen oder seltenen benignen gynäkologischen Krankheitsbildern </w:t>
            </w:r>
          </w:p>
        </w:tc>
      </w:tr>
    </w:tbl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6"/>
      </w:tblGrid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Diagnostik und Differentialdiagnostik gutartiger und bösartiger 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Angehörigen über Vorbereitung, Indikation, Durchführung und Risiken von Untersuchungen und Behandlungen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prä- und postoperativer Komplikationen und perioperative Therapie komplexer und/oder seltenerer benigner gynäkologischer 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konservativer und operativer gynäkologischer Behandlungsmethoden inkl. Behandlungsmethoden benigner und prämaligner gynäkologischer 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Durchführung fachspezifischer, medikamentöser und operativer Behandlungsmethoden von benignen gynäkologischen Erkrankungen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Interdisziplinäre Betreuung von Patientinnen mit  komplizierten, rezidivierenden infektiösen Erkrankungen und deren  Bedeutung, Diagnostik und Therapie von komplizierten Infektionen bei der gynäkologischen Patientin </w:t>
            </w:r>
          </w:p>
        </w:tc>
      </w:tr>
      <w:tr w:rsidR="001B464E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von Patientinnen mit chronischen Schmerzen im Bereich des Genitales</w:t>
            </w:r>
          </w:p>
        </w:tc>
      </w:tr>
    </w:tbl>
    <w:p w:rsidR="001B464E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p w:rsidR="001B464E" w:rsidRDefault="001B464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1B464E" w:rsidRPr="004879F6" w:rsidRDefault="001B464E" w:rsidP="001B464E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1445"/>
      </w:tblGrid>
      <w:tr w:rsidR="001B464E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Richtzahl </w:t>
            </w:r>
          </w:p>
        </w:tc>
      </w:tr>
      <w:tr w:rsidR="001B464E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Akutmedizinische Behandlung intraabdomineller Blutungen bei gynäkologischer Ursache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B464E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Durchführung, Befundung und Dokumentation fachspezifischer sonographischer Untersuchungen in der Gynäkologie, inklusive dopplersonographischer Technik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B464E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Patientinnen mit gynäkologischer Erkrankung und vor bestehender allgemeinen Erkrankungen wie z.B. bei Patientinnen mit Immunsuppression, nach Transplantation, HIV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B464E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Perioperatives Management und postoperatives Management gynäkologischer Krankheitsbilder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Laparoskopie (inkl. Sterilisation)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Laparoskopische Eingriffe (Ovarialcyste, Myome, voroperierte Patientinnen, komplexe Endometriosezustände)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Hysteroskopische Operationen (Septumresektion, komplizierte Resektionen von Myomen etc.)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Laparotomie oder größere laparoskopische Operationen bei komplizierten, insbesondere mehrfach voroperierten Patientinnen</w:t>
            </w:r>
            <w:r w:rsidRPr="004879F6">
              <w:rPr>
                <w:rFonts w:ascii="Times New Roman" w:hAnsi="Times New Roman" w:cs="Times New Roman"/>
                <w:sz w:val="20"/>
              </w:rPr>
              <w:br/>
              <w:t>(- abdominale oder laparoskopische Hysterektomien)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Vaginale Operationen, insbesondere bei voroperierten Patientinnen</w:t>
            </w:r>
            <w:r w:rsidRPr="004879F6">
              <w:rPr>
                <w:rFonts w:ascii="Times New Roman" w:hAnsi="Times New Roman" w:cs="Times New Roman"/>
                <w:sz w:val="20"/>
              </w:rPr>
              <w:br/>
              <w:t>(vaginale oder laparoskopisch assistierte Hysterektomien)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B464E" w:rsidRPr="004879F6" w:rsidTr="00AF5AE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1B464E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Eingriffe an der Zervix, Vagina, Vulva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B464E" w:rsidRPr="004879F6" w:rsidRDefault="001B464E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1B464E" w:rsidRPr="004879F6" w:rsidRDefault="001B464E" w:rsidP="001B464E">
      <w:pPr>
        <w:spacing w:after="0"/>
        <w:ind w:left="360"/>
        <w:rPr>
          <w:rFonts w:ascii="Times New Roman" w:hAnsi="Times New Roman" w:cs="Times New Roman"/>
          <w:sz w:val="20"/>
        </w:rPr>
      </w:pPr>
    </w:p>
    <w:p w:rsidR="0091326B" w:rsidRDefault="0091326B" w:rsidP="001B464E"/>
    <w:sectPr w:rsidR="0091326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4E" w:rsidRDefault="001B464E" w:rsidP="001B464E">
      <w:pPr>
        <w:spacing w:after="0" w:line="240" w:lineRule="auto"/>
      </w:pPr>
      <w:r>
        <w:separator/>
      </w:r>
    </w:p>
  </w:endnote>
  <w:endnote w:type="continuationSeparator" w:id="0">
    <w:p w:rsidR="001B464E" w:rsidRDefault="001B464E" w:rsidP="001B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4E" w:rsidRPr="001B464E" w:rsidRDefault="00404D85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</w:t>
    </w:r>
    <w:r w:rsidR="001B464E" w:rsidRPr="001B464E">
      <w:rPr>
        <w:rFonts w:ascii="Times New Roman" w:hAnsi="Times New Roman" w:cs="Times New Roman"/>
        <w:sz w:val="18"/>
        <w:szCs w:val="18"/>
      </w:rPr>
      <w:t>3. Nov</w:t>
    </w:r>
    <w:r>
      <w:rPr>
        <w:rFonts w:ascii="Times New Roman" w:hAnsi="Times New Roman" w:cs="Times New Roman"/>
        <w:sz w:val="18"/>
        <w:szCs w:val="18"/>
      </w:rPr>
      <w:t>. KEF u RZ-V</w:t>
    </w:r>
    <w:r w:rsidR="001B464E" w:rsidRPr="001B464E">
      <w:rPr>
        <w:rFonts w:ascii="Times New Roman" w:hAnsi="Times New Roman" w:cs="Times New Roman"/>
        <w:sz w:val="18"/>
        <w:szCs w:val="18"/>
      </w:rPr>
      <w:t xml:space="preserve"> 2015, </w:t>
    </w:r>
    <w:r w:rsidR="007B3CE6">
      <w:rPr>
        <w:rFonts w:ascii="Times New Roman" w:hAnsi="Times New Roman" w:cs="Times New Roman"/>
        <w:sz w:val="18"/>
        <w:szCs w:val="18"/>
      </w:rPr>
      <w:t>Version 1.3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1B464E" w:rsidRPr="001B464E">
      <w:rPr>
        <w:rFonts w:ascii="Times New Roman" w:hAnsi="Times New Roman" w:cs="Times New Roman"/>
        <w:sz w:val="18"/>
        <w:szCs w:val="18"/>
      </w:rPr>
      <w:t>Ausbildungsbeginn</w:t>
    </w:r>
    <w:r>
      <w:rPr>
        <w:rFonts w:ascii="Times New Roman" w:hAnsi="Times New Roman" w:cs="Times New Roman"/>
        <w:sz w:val="18"/>
        <w:szCs w:val="18"/>
      </w:rPr>
      <w:t xml:space="preserve"> ab </w:t>
    </w:r>
    <w:r w:rsidR="001B464E" w:rsidRPr="001B464E">
      <w:rPr>
        <w:rFonts w:ascii="Times New Roman" w:hAnsi="Times New Roman" w:cs="Times New Roman"/>
        <w:sz w:val="18"/>
        <w:szCs w:val="18"/>
      </w:rPr>
      <w:t xml:space="preserve"> 01.01.2020</w:t>
    </w:r>
    <w:r w:rsidR="001B464E" w:rsidRPr="001B464E">
      <w:rPr>
        <w:rFonts w:ascii="Times New Roman" w:hAnsi="Times New Roman" w:cs="Times New Roman"/>
        <w:sz w:val="18"/>
        <w:szCs w:val="18"/>
      </w:rPr>
      <w:tab/>
    </w:r>
    <w:r w:rsidR="001B464E" w:rsidRPr="001B464E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1B464E" w:rsidRPr="001B464E">
      <w:rPr>
        <w:rFonts w:ascii="Times New Roman" w:hAnsi="Times New Roman" w:cs="Times New Roman"/>
        <w:bCs/>
        <w:sz w:val="18"/>
        <w:szCs w:val="18"/>
      </w:rPr>
      <w:fldChar w:fldCharType="begin"/>
    </w:r>
    <w:r w:rsidR="001B464E" w:rsidRPr="001B464E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1B464E" w:rsidRPr="001B464E">
      <w:rPr>
        <w:rFonts w:ascii="Times New Roman" w:hAnsi="Times New Roman" w:cs="Times New Roman"/>
        <w:bCs/>
        <w:sz w:val="18"/>
        <w:szCs w:val="18"/>
      </w:rPr>
      <w:fldChar w:fldCharType="separate"/>
    </w:r>
    <w:r w:rsidR="007B3CE6" w:rsidRPr="007B3CE6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1B464E" w:rsidRPr="001B464E">
      <w:rPr>
        <w:rFonts w:ascii="Times New Roman" w:hAnsi="Times New Roman" w:cs="Times New Roman"/>
        <w:bCs/>
        <w:sz w:val="18"/>
        <w:szCs w:val="18"/>
      </w:rPr>
      <w:fldChar w:fldCharType="end"/>
    </w:r>
    <w:r w:rsidR="001B464E" w:rsidRPr="001B464E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1B464E" w:rsidRPr="001B464E">
      <w:rPr>
        <w:rFonts w:ascii="Times New Roman" w:hAnsi="Times New Roman" w:cs="Times New Roman"/>
        <w:bCs/>
        <w:sz w:val="18"/>
        <w:szCs w:val="18"/>
      </w:rPr>
      <w:fldChar w:fldCharType="begin"/>
    </w:r>
    <w:r w:rsidR="001B464E" w:rsidRPr="001B464E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1B464E" w:rsidRPr="001B464E">
      <w:rPr>
        <w:rFonts w:ascii="Times New Roman" w:hAnsi="Times New Roman" w:cs="Times New Roman"/>
        <w:bCs/>
        <w:sz w:val="18"/>
        <w:szCs w:val="18"/>
      </w:rPr>
      <w:fldChar w:fldCharType="separate"/>
    </w:r>
    <w:r w:rsidR="007B3CE6" w:rsidRPr="007B3CE6">
      <w:rPr>
        <w:rFonts w:ascii="Times New Roman" w:hAnsi="Times New Roman" w:cs="Times New Roman"/>
        <w:bCs/>
        <w:noProof/>
        <w:sz w:val="18"/>
        <w:szCs w:val="18"/>
        <w:lang w:val="de-DE"/>
      </w:rPr>
      <w:t>10</w:t>
    </w:r>
    <w:r w:rsidR="001B464E" w:rsidRPr="001B464E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4E" w:rsidRDefault="001B464E" w:rsidP="001B464E">
      <w:pPr>
        <w:spacing w:after="0" w:line="240" w:lineRule="auto"/>
      </w:pPr>
      <w:r>
        <w:separator/>
      </w:r>
    </w:p>
  </w:footnote>
  <w:footnote w:type="continuationSeparator" w:id="0">
    <w:p w:rsidR="001B464E" w:rsidRDefault="001B464E" w:rsidP="001B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556"/>
    <w:multiLevelType w:val="hybridMultilevel"/>
    <w:tmpl w:val="E2AEDE9E"/>
    <w:lvl w:ilvl="0" w:tplc="3A9A7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32C6"/>
    <w:multiLevelType w:val="hybridMultilevel"/>
    <w:tmpl w:val="430C87B8"/>
    <w:lvl w:ilvl="0" w:tplc="7FD0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6D2D"/>
    <w:multiLevelType w:val="hybridMultilevel"/>
    <w:tmpl w:val="40FA4948"/>
    <w:lvl w:ilvl="0" w:tplc="0268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ED6"/>
    <w:multiLevelType w:val="hybridMultilevel"/>
    <w:tmpl w:val="7C38EB58"/>
    <w:lvl w:ilvl="0" w:tplc="4BBA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4988"/>
    <w:multiLevelType w:val="hybridMultilevel"/>
    <w:tmpl w:val="59626C70"/>
    <w:lvl w:ilvl="0" w:tplc="3D9A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2D07"/>
    <w:multiLevelType w:val="hybridMultilevel"/>
    <w:tmpl w:val="44E095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D9D"/>
    <w:multiLevelType w:val="hybridMultilevel"/>
    <w:tmpl w:val="6E76324E"/>
    <w:lvl w:ilvl="0" w:tplc="14BE0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27281"/>
    <w:multiLevelType w:val="hybridMultilevel"/>
    <w:tmpl w:val="01EC0D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1B80"/>
    <w:multiLevelType w:val="hybridMultilevel"/>
    <w:tmpl w:val="5F76A454"/>
    <w:lvl w:ilvl="0" w:tplc="BA46B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18FC"/>
    <w:multiLevelType w:val="hybridMultilevel"/>
    <w:tmpl w:val="5D0AD1A4"/>
    <w:lvl w:ilvl="0" w:tplc="0C07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0" w15:restartNumberingAfterBreak="0">
    <w:nsid w:val="441D4A09"/>
    <w:multiLevelType w:val="hybridMultilevel"/>
    <w:tmpl w:val="127C7362"/>
    <w:lvl w:ilvl="0" w:tplc="FD0EB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16D8"/>
    <w:multiLevelType w:val="hybridMultilevel"/>
    <w:tmpl w:val="1D4AE142"/>
    <w:lvl w:ilvl="0" w:tplc="D4CC3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E4235"/>
    <w:multiLevelType w:val="hybridMultilevel"/>
    <w:tmpl w:val="80D6181C"/>
    <w:lvl w:ilvl="0" w:tplc="A2FC3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904A7"/>
    <w:multiLevelType w:val="hybridMultilevel"/>
    <w:tmpl w:val="523C2CF2"/>
    <w:lvl w:ilvl="0" w:tplc="4B3A3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35DB"/>
    <w:multiLevelType w:val="hybridMultilevel"/>
    <w:tmpl w:val="C4A45100"/>
    <w:lvl w:ilvl="0" w:tplc="8544E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13DEB"/>
    <w:multiLevelType w:val="hybridMultilevel"/>
    <w:tmpl w:val="4920A30E"/>
    <w:lvl w:ilvl="0" w:tplc="75B07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3F08"/>
    <w:multiLevelType w:val="hybridMultilevel"/>
    <w:tmpl w:val="A64E9E06"/>
    <w:lvl w:ilvl="0" w:tplc="9258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A19B0"/>
    <w:multiLevelType w:val="hybridMultilevel"/>
    <w:tmpl w:val="70141922"/>
    <w:lvl w:ilvl="0" w:tplc="59125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26A49"/>
    <w:multiLevelType w:val="hybridMultilevel"/>
    <w:tmpl w:val="A07C56F4"/>
    <w:lvl w:ilvl="0" w:tplc="B9826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1B50"/>
    <w:multiLevelType w:val="hybridMultilevel"/>
    <w:tmpl w:val="284A2314"/>
    <w:lvl w:ilvl="0" w:tplc="117A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C7B41"/>
    <w:multiLevelType w:val="hybridMultilevel"/>
    <w:tmpl w:val="A3E62946"/>
    <w:lvl w:ilvl="0" w:tplc="F188A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50D8"/>
    <w:multiLevelType w:val="hybridMultilevel"/>
    <w:tmpl w:val="7B42042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0CF0DF0"/>
    <w:multiLevelType w:val="hybridMultilevel"/>
    <w:tmpl w:val="BBE244B0"/>
    <w:lvl w:ilvl="0" w:tplc="CB20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B6BAD"/>
    <w:multiLevelType w:val="hybridMultilevel"/>
    <w:tmpl w:val="3BBAA352"/>
    <w:lvl w:ilvl="0" w:tplc="F604C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18"/>
  </w:num>
  <w:num w:numId="5">
    <w:abstractNumId w:val="20"/>
  </w:num>
  <w:num w:numId="6">
    <w:abstractNumId w:val="16"/>
  </w:num>
  <w:num w:numId="7">
    <w:abstractNumId w:val="3"/>
  </w:num>
  <w:num w:numId="8">
    <w:abstractNumId w:val="22"/>
  </w:num>
  <w:num w:numId="9">
    <w:abstractNumId w:val="17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13"/>
  </w:num>
  <w:num w:numId="15">
    <w:abstractNumId w:val="8"/>
  </w:num>
  <w:num w:numId="16">
    <w:abstractNumId w:val="23"/>
  </w:num>
  <w:num w:numId="17">
    <w:abstractNumId w:val="12"/>
  </w:num>
  <w:num w:numId="18">
    <w:abstractNumId w:val="4"/>
  </w:num>
  <w:num w:numId="19">
    <w:abstractNumId w:val="15"/>
  </w:num>
  <w:num w:numId="20">
    <w:abstractNumId w:val="10"/>
  </w:num>
  <w:num w:numId="21">
    <w:abstractNumId w:val="2"/>
  </w:num>
  <w:num w:numId="22">
    <w:abstractNumId w:val="7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4E"/>
    <w:rsid w:val="001B464E"/>
    <w:rsid w:val="00404D85"/>
    <w:rsid w:val="007B3CE6"/>
    <w:rsid w:val="009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3168"/>
  <w15:chartTrackingRefBased/>
  <w15:docId w15:val="{A1A95327-97F6-4084-9DA9-53D0DB0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6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64E"/>
  </w:style>
  <w:style w:type="paragraph" w:styleId="Fuzeile">
    <w:name w:val="footer"/>
    <w:basedOn w:val="Standard"/>
    <w:link w:val="FuzeileZchn"/>
    <w:uiPriority w:val="99"/>
    <w:unhideWhenUsed/>
    <w:rsid w:val="001B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2526</Words>
  <Characters>15921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2020-01-21T07:45:00Z</dcterms:created>
  <dcterms:modified xsi:type="dcterms:W3CDTF">2020-03-30T11:16:00Z</dcterms:modified>
</cp:coreProperties>
</file>